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56B" w:rsidRPr="00AF456B" w:rsidRDefault="007F3D2F" w:rsidP="00AF456B">
      <w:pPr>
        <w:jc w:val="center"/>
        <w:rPr>
          <w:b/>
        </w:rPr>
      </w:pPr>
      <w:r>
        <w:rPr>
          <w:b/>
        </w:rPr>
        <w:t>Rekenmodel referen</w:t>
      </w:r>
      <w:r w:rsidR="00AF456B" w:rsidRPr="00AF456B">
        <w:rPr>
          <w:b/>
        </w:rPr>
        <w:t>tieniveaus</w:t>
      </w:r>
      <w:r>
        <w:rPr>
          <w:b/>
        </w:rPr>
        <w:t xml:space="preserve"> nieuw onderwijsresultatenmodel</w:t>
      </w:r>
    </w:p>
    <w:p w:rsidR="00AF456B" w:rsidRDefault="00AF456B">
      <w:r>
        <w:t xml:space="preserve">De Inspectie van het Onderwijs gaat vanaf 2020-2021 </w:t>
      </w:r>
      <w:r w:rsidR="007F3D2F">
        <w:t xml:space="preserve">(pilotjaar 2019-2020) </w:t>
      </w:r>
      <w:r>
        <w:t xml:space="preserve">de eindopbrengsten van basisscholen op een andere manier wegen. Centrale vragen worden dan: </w:t>
      </w:r>
    </w:p>
    <w:p w:rsidR="00AF456B" w:rsidRDefault="00AF456B">
      <w:r>
        <w:t xml:space="preserve">1. Hebben voldoende leerlingen het niveau 1F gehaald (Lezen – Taalverzorging – Rekenen)? </w:t>
      </w:r>
      <w:r>
        <w:br/>
        <w:t xml:space="preserve">2. Hebben voldoende leerlingen het niveau 1S/2F gehaald (Lezen – Taalverzorging – Rekenen)? </w:t>
      </w:r>
    </w:p>
    <w:p w:rsidR="00AF456B" w:rsidRDefault="00AF456B">
      <w:r>
        <w:t xml:space="preserve">De inspectie zal kijken naar de resultaten (van de eindtoets) over de laatste drie jaren SAMEN. De resultaten van alle leerlingen tellen mee, exclusief die van de leerlingen die voldoen aan de ontheffingsgronden. </w:t>
      </w:r>
    </w:p>
    <w:p w:rsidR="00C34A42" w:rsidRDefault="00AF456B">
      <w:r>
        <w:t xml:space="preserve">Medio oktober 2019 heeft de inspectie de zogenaamde signaleringswaarden vastgesteld. Scoor je voor 1F of 1S/2F lager dan die waarde, dan is dat een signaal </w:t>
      </w:r>
      <w:r w:rsidR="007F3D2F">
        <w:t xml:space="preserve">voor de inspectie </w:t>
      </w:r>
      <w:r>
        <w:t xml:space="preserve">om </w:t>
      </w:r>
      <w:r w:rsidR="007F3D2F">
        <w:t xml:space="preserve">eventueel </w:t>
      </w:r>
      <w:r>
        <w:t xml:space="preserve">verder onderzoek te doen. De signaleringswaarde voor 1F is voor alle scholen 85%. Voor 1S/2F is de signaleringswaarde afhankelijk van de schoolweging. </w:t>
      </w:r>
    </w:p>
    <w:p w:rsidR="00C34A42" w:rsidRDefault="00AF456B">
      <w:r>
        <w:t xml:space="preserve">De schoolweging wordt bepaald door het CBS en aan de scholen verstrekt. De schoolweging wordt berekend aan de hand van vijf omgevingskenmerken: het opleidingsniveau van de ouders, het gemiddeld opleidingsniveau van alle moeders op school, het land van herkomst van de ouders, de verblijfsduur van de moeder in Nederland en of de ouders in de schuldsanering zitten. In samenhang voorspellen ze de eindopbrengsten van de school. </w:t>
      </w:r>
    </w:p>
    <w:p w:rsidR="00C34A42" w:rsidRDefault="00AF456B">
      <w:r>
        <w:t xml:space="preserve">De schoolweging wordt uitgedrukt in een score tussen </w:t>
      </w:r>
      <w:r w:rsidR="007F3D2F">
        <w:t xml:space="preserve">de </w:t>
      </w:r>
      <w:r>
        <w:t>20 en 40</w:t>
      </w:r>
      <w:r w:rsidR="00892123">
        <w:t xml:space="preserve"> (bijlage tabel </w:t>
      </w:r>
      <w:proofErr w:type="spellStart"/>
      <w:r w:rsidR="00892123">
        <w:t>excelbestand</w:t>
      </w:r>
      <w:proofErr w:type="spellEnd"/>
      <w:r w:rsidR="00892123">
        <w:t>)</w:t>
      </w:r>
      <w:r>
        <w:t>. Een lage schoolweging voorspelt hoge eindresultaten en een hoge schoolwegin</w:t>
      </w:r>
      <w:r w:rsidR="007F3D2F">
        <w:t xml:space="preserve">g voorspelt lage eindresultaten. </w:t>
      </w:r>
      <w:r>
        <w:t xml:space="preserve"> </w:t>
      </w:r>
    </w:p>
    <w:p w:rsidR="00C34A42" w:rsidRDefault="00C34A42">
      <w:r>
        <w:t xml:space="preserve">De schoolweging die is vastgesteld voor de </w:t>
      </w:r>
      <w:r w:rsidR="007F3D2F">
        <w:t>&lt;</w:t>
      </w:r>
      <w:r w:rsidR="007F3D2F" w:rsidRPr="007F3D2F">
        <w:rPr>
          <w:b/>
          <w:color w:val="FF0000"/>
        </w:rPr>
        <w:t>Voorbeeldsc</w:t>
      </w:r>
      <w:r w:rsidRPr="007F3D2F">
        <w:rPr>
          <w:b/>
          <w:color w:val="FF0000"/>
        </w:rPr>
        <w:t>hool</w:t>
      </w:r>
      <w:r w:rsidR="007F3D2F" w:rsidRPr="007F3D2F">
        <w:rPr>
          <w:b/>
          <w:color w:val="FF0000"/>
        </w:rPr>
        <w:t>&gt;</w:t>
      </w:r>
      <w:r w:rsidRPr="007F3D2F">
        <w:rPr>
          <w:color w:val="FF0000"/>
        </w:rPr>
        <w:t xml:space="preserve"> </w:t>
      </w:r>
      <w:r>
        <w:t xml:space="preserve">is: 30,2. Dit betekent voor de </w:t>
      </w:r>
      <w:r w:rsidR="007F3D2F" w:rsidRPr="007F3D2F">
        <w:rPr>
          <w:b/>
          <w:color w:val="FF0000"/>
        </w:rPr>
        <w:t>&lt;Voorbeeld</w:t>
      </w:r>
      <w:r w:rsidRPr="007F3D2F">
        <w:rPr>
          <w:b/>
          <w:color w:val="FF0000"/>
        </w:rPr>
        <w:t>school</w:t>
      </w:r>
      <w:r w:rsidR="007F3D2F" w:rsidRPr="007F3D2F">
        <w:rPr>
          <w:b/>
          <w:color w:val="FF0000"/>
        </w:rPr>
        <w:t>&gt;</w:t>
      </w:r>
      <w:r w:rsidR="007F3D2F" w:rsidRPr="007F3D2F">
        <w:rPr>
          <w:color w:val="FF0000"/>
        </w:rPr>
        <w:t xml:space="preserve"> </w:t>
      </w:r>
      <w:r>
        <w:t>:</w:t>
      </w:r>
    </w:p>
    <w:tbl>
      <w:tblPr>
        <w:tblStyle w:val="Tabelraster"/>
        <w:tblW w:w="0" w:type="auto"/>
        <w:tblLook w:val="04A0" w:firstRow="1" w:lastRow="0" w:firstColumn="1" w:lastColumn="0" w:noHBand="0" w:noVBand="1"/>
      </w:tblPr>
      <w:tblGrid>
        <w:gridCol w:w="1449"/>
        <w:gridCol w:w="1955"/>
        <w:gridCol w:w="1659"/>
        <w:gridCol w:w="1955"/>
        <w:gridCol w:w="2044"/>
      </w:tblGrid>
      <w:tr w:rsidR="00C34A42" w:rsidTr="00873310">
        <w:tc>
          <w:tcPr>
            <w:tcW w:w="1449" w:type="dxa"/>
          </w:tcPr>
          <w:p w:rsidR="00C34A42" w:rsidRDefault="00C34A42">
            <w:r>
              <w:t>Schoolweging CBS</w:t>
            </w:r>
          </w:p>
        </w:tc>
        <w:tc>
          <w:tcPr>
            <w:tcW w:w="1955" w:type="dxa"/>
          </w:tcPr>
          <w:p w:rsidR="00C34A42" w:rsidRDefault="00C34A42" w:rsidP="00BD77CF">
            <w:r>
              <w:t>Signaleringswaarde 1</w:t>
            </w:r>
            <w:r w:rsidR="00BD77CF">
              <w:t>F</w:t>
            </w:r>
          </w:p>
        </w:tc>
        <w:tc>
          <w:tcPr>
            <w:tcW w:w="1694" w:type="dxa"/>
          </w:tcPr>
          <w:p w:rsidR="00C34A42" w:rsidRDefault="00C34A42" w:rsidP="00873310">
            <w:r>
              <w:t>Landelijk Gemiddelde</w:t>
            </w:r>
            <w:r w:rsidR="00873310">
              <w:t xml:space="preserve"> </w:t>
            </w:r>
            <w:r>
              <w:t>1</w:t>
            </w:r>
            <w:r w:rsidR="00BD77CF">
              <w:t>F</w:t>
            </w:r>
          </w:p>
        </w:tc>
        <w:tc>
          <w:tcPr>
            <w:tcW w:w="1843" w:type="dxa"/>
          </w:tcPr>
          <w:p w:rsidR="00C34A42" w:rsidRDefault="00C34A42" w:rsidP="00BD77CF">
            <w:r>
              <w:t>Signaleringswaarde 2</w:t>
            </w:r>
            <w:r w:rsidR="00BD77CF">
              <w:t>F</w:t>
            </w:r>
            <w:r>
              <w:t xml:space="preserve"> / 1</w:t>
            </w:r>
            <w:r w:rsidR="00BD77CF">
              <w:t>S</w:t>
            </w:r>
          </w:p>
        </w:tc>
        <w:tc>
          <w:tcPr>
            <w:tcW w:w="2121" w:type="dxa"/>
          </w:tcPr>
          <w:p w:rsidR="00C34A42" w:rsidRDefault="00C34A42" w:rsidP="00BD77CF">
            <w:r>
              <w:t>Landelijk gemiddelde 2</w:t>
            </w:r>
            <w:r w:rsidR="00BD77CF">
              <w:t>F</w:t>
            </w:r>
            <w:r>
              <w:t xml:space="preserve"> / 1</w:t>
            </w:r>
            <w:r w:rsidR="00BD77CF">
              <w:t>S</w:t>
            </w:r>
          </w:p>
        </w:tc>
      </w:tr>
      <w:tr w:rsidR="00C34A42" w:rsidTr="00873310">
        <w:tc>
          <w:tcPr>
            <w:tcW w:w="1449" w:type="dxa"/>
          </w:tcPr>
          <w:p w:rsidR="00C34A42" w:rsidRDefault="00C34A42" w:rsidP="00C34A42">
            <w:pPr>
              <w:jc w:val="center"/>
            </w:pPr>
            <w:r>
              <w:t>30,2</w:t>
            </w:r>
          </w:p>
        </w:tc>
        <w:tc>
          <w:tcPr>
            <w:tcW w:w="1955" w:type="dxa"/>
          </w:tcPr>
          <w:p w:rsidR="00C34A42" w:rsidRDefault="00C34A42" w:rsidP="00C34A42">
            <w:pPr>
              <w:jc w:val="center"/>
            </w:pPr>
            <w:r>
              <w:t>85 %</w:t>
            </w:r>
          </w:p>
        </w:tc>
        <w:tc>
          <w:tcPr>
            <w:tcW w:w="1694" w:type="dxa"/>
          </w:tcPr>
          <w:p w:rsidR="00C34A42" w:rsidRDefault="00C34A42" w:rsidP="00C34A42">
            <w:pPr>
              <w:jc w:val="center"/>
            </w:pPr>
          </w:p>
        </w:tc>
        <w:tc>
          <w:tcPr>
            <w:tcW w:w="1843" w:type="dxa"/>
          </w:tcPr>
          <w:p w:rsidR="00C34A42" w:rsidRDefault="00C34A42" w:rsidP="00C34A42">
            <w:pPr>
              <w:jc w:val="center"/>
            </w:pPr>
            <w:r>
              <w:t>47,3 %</w:t>
            </w:r>
          </w:p>
        </w:tc>
        <w:tc>
          <w:tcPr>
            <w:tcW w:w="2121" w:type="dxa"/>
          </w:tcPr>
          <w:p w:rsidR="00C34A42" w:rsidRDefault="00C34A42" w:rsidP="00C34A42">
            <w:pPr>
              <w:jc w:val="center"/>
            </w:pPr>
            <w:r>
              <w:t>59,2 %</w:t>
            </w:r>
          </w:p>
        </w:tc>
      </w:tr>
    </w:tbl>
    <w:p w:rsidR="00C34A42" w:rsidRDefault="00C34A42">
      <w:r>
        <w:t xml:space="preserve"> </w:t>
      </w:r>
      <w:r w:rsidR="00BD77CF">
        <w:br/>
        <w:t>Dit betekent dat op basis van de schoolweging 85 % van de leerlingen die de eindtoets hebben gemaakt 1f moeten scoren en 47,3 % van de leerlingen 2f / 1s.</w:t>
      </w:r>
    </w:p>
    <w:p w:rsidR="00CC6ACB" w:rsidRDefault="00AF456B">
      <w:r>
        <w:t>De Inspectie van het Onderwijs heeft een rekenregel vastgesteld om te bepalen of voldoende leerlingen het referentieniveau 1F resp. 1S/2F hebben gehaald. De regel voor 1F luidt:</w:t>
      </w:r>
    </w:p>
    <w:p w:rsidR="007F3D2F" w:rsidRPr="007F3D2F" w:rsidRDefault="007F3D2F">
      <w:pPr>
        <w:rPr>
          <w:b/>
          <w:color w:val="FF0000"/>
        </w:rPr>
      </w:pPr>
      <w:r w:rsidRPr="007F3D2F">
        <w:rPr>
          <w:b/>
          <w:color w:val="FF0000"/>
        </w:rPr>
        <w:t>&lt;Voorbeeldschool&gt; :</w:t>
      </w:r>
    </w:p>
    <w:tbl>
      <w:tblPr>
        <w:tblStyle w:val="Tabelraster"/>
        <w:tblW w:w="0" w:type="auto"/>
        <w:tblLook w:val="04A0" w:firstRow="1" w:lastRow="0" w:firstColumn="1" w:lastColumn="0" w:noHBand="0" w:noVBand="1"/>
      </w:tblPr>
      <w:tblGrid>
        <w:gridCol w:w="1271"/>
        <w:gridCol w:w="1134"/>
        <w:gridCol w:w="1134"/>
        <w:gridCol w:w="1134"/>
        <w:gridCol w:w="1134"/>
        <w:gridCol w:w="1103"/>
        <w:gridCol w:w="1071"/>
        <w:gridCol w:w="1081"/>
      </w:tblGrid>
      <w:tr w:rsidR="007B0843" w:rsidTr="00873310">
        <w:tc>
          <w:tcPr>
            <w:tcW w:w="1271" w:type="dxa"/>
          </w:tcPr>
          <w:p w:rsidR="00AF456B" w:rsidRDefault="00AF456B" w:rsidP="00BA4085">
            <w:r>
              <w:t>schooljaar</w:t>
            </w:r>
          </w:p>
        </w:tc>
        <w:tc>
          <w:tcPr>
            <w:tcW w:w="1134" w:type="dxa"/>
          </w:tcPr>
          <w:p w:rsidR="00AF456B" w:rsidRDefault="00AF456B" w:rsidP="00BA4085">
            <w:r>
              <w:t>Aantal</w:t>
            </w:r>
            <w:r w:rsidR="00873310">
              <w:t xml:space="preserve"> </w:t>
            </w:r>
            <w:proofErr w:type="spellStart"/>
            <w:r>
              <w:t>lln</w:t>
            </w:r>
            <w:proofErr w:type="spellEnd"/>
          </w:p>
          <w:p w:rsidR="00AF456B" w:rsidRDefault="00873310" w:rsidP="00BA4085">
            <w:r>
              <w:t>totaal</w:t>
            </w:r>
          </w:p>
          <w:p w:rsidR="00873310" w:rsidRDefault="00873310" w:rsidP="00BA4085">
            <w:r>
              <w:t>eindtoets</w:t>
            </w:r>
          </w:p>
        </w:tc>
        <w:tc>
          <w:tcPr>
            <w:tcW w:w="1134" w:type="dxa"/>
          </w:tcPr>
          <w:p w:rsidR="00AF456B" w:rsidRDefault="00AF456B" w:rsidP="00873310">
            <w:r>
              <w:t>Aantal</w:t>
            </w:r>
            <w:r w:rsidR="00873310">
              <w:t xml:space="preserve"> </w:t>
            </w:r>
            <w:proofErr w:type="spellStart"/>
            <w:r w:rsidR="00873310">
              <w:t>lln</w:t>
            </w:r>
            <w:proofErr w:type="spellEnd"/>
            <w:r w:rsidR="007B0843">
              <w:t xml:space="preserve"> </w:t>
            </w:r>
            <w:r w:rsidR="00873310">
              <w:t xml:space="preserve">1F </w:t>
            </w:r>
            <w:r w:rsidR="008F2295">
              <w:t>lezen</w:t>
            </w:r>
          </w:p>
          <w:p w:rsidR="008F2295" w:rsidRDefault="008F2295" w:rsidP="00873310">
            <w:r>
              <w:t>(1F+2F)</w:t>
            </w:r>
          </w:p>
        </w:tc>
        <w:tc>
          <w:tcPr>
            <w:tcW w:w="1134" w:type="dxa"/>
          </w:tcPr>
          <w:p w:rsidR="007B0843" w:rsidRDefault="00AF456B" w:rsidP="00BA4085">
            <w:r>
              <w:t>Aantal</w:t>
            </w:r>
            <w:r w:rsidR="00873310">
              <w:t xml:space="preserve"> </w:t>
            </w:r>
            <w:proofErr w:type="spellStart"/>
            <w:r w:rsidR="007F3D2F">
              <w:t>lln</w:t>
            </w:r>
            <w:proofErr w:type="spellEnd"/>
          </w:p>
          <w:p w:rsidR="00AF456B" w:rsidRDefault="00873310" w:rsidP="00BA4085">
            <w:r>
              <w:t>1F</w:t>
            </w:r>
            <w:r w:rsidR="007F3D2F">
              <w:t xml:space="preserve"> </w:t>
            </w:r>
            <w:proofErr w:type="spellStart"/>
            <w:r w:rsidR="007F3D2F">
              <w:t>t</w:t>
            </w:r>
            <w:r w:rsidR="00AF456B">
              <w:t>aalverz</w:t>
            </w:r>
            <w:proofErr w:type="spellEnd"/>
          </w:p>
          <w:p w:rsidR="008F2295" w:rsidRDefault="007F3D2F" w:rsidP="00BA4085">
            <w:r>
              <w:t>(</w:t>
            </w:r>
            <w:r w:rsidR="008F2295">
              <w:t>1F+2F</w:t>
            </w:r>
            <w:r>
              <w:t>)</w:t>
            </w:r>
          </w:p>
        </w:tc>
        <w:tc>
          <w:tcPr>
            <w:tcW w:w="1134" w:type="dxa"/>
          </w:tcPr>
          <w:p w:rsidR="00873310" w:rsidRDefault="00AF456B" w:rsidP="00BA4085">
            <w:r>
              <w:t>Aantal</w:t>
            </w:r>
            <w:r w:rsidR="00873310">
              <w:t xml:space="preserve"> </w:t>
            </w:r>
            <w:proofErr w:type="spellStart"/>
            <w:r>
              <w:t>lln</w:t>
            </w:r>
            <w:proofErr w:type="spellEnd"/>
            <w:r>
              <w:t xml:space="preserve"> </w:t>
            </w:r>
          </w:p>
          <w:p w:rsidR="00873310" w:rsidRDefault="00873310" w:rsidP="00BA4085">
            <w:r>
              <w:t>1F</w:t>
            </w:r>
            <w:r w:rsidR="007F3D2F">
              <w:t xml:space="preserve"> </w:t>
            </w:r>
          </w:p>
          <w:p w:rsidR="00AF456B" w:rsidRDefault="007F3D2F" w:rsidP="00BA4085">
            <w:r>
              <w:t>r</w:t>
            </w:r>
            <w:r w:rsidR="00AF456B">
              <w:t>ekenen</w:t>
            </w:r>
          </w:p>
          <w:p w:rsidR="008F2295" w:rsidRDefault="007F3D2F" w:rsidP="00BA4085">
            <w:r>
              <w:t>(</w:t>
            </w:r>
            <w:r w:rsidR="008F2295">
              <w:t>1F</w:t>
            </w:r>
            <w:r>
              <w:t>+1S)</w:t>
            </w:r>
          </w:p>
        </w:tc>
        <w:tc>
          <w:tcPr>
            <w:tcW w:w="1103" w:type="dxa"/>
          </w:tcPr>
          <w:p w:rsidR="00AF456B" w:rsidRDefault="00AF456B" w:rsidP="00BA4085">
            <w:r>
              <w:t xml:space="preserve">Aantal </w:t>
            </w:r>
            <w:proofErr w:type="spellStart"/>
            <w:r>
              <w:t>lln</w:t>
            </w:r>
            <w:proofErr w:type="spellEnd"/>
            <w:r>
              <w:t xml:space="preserve">  2F </w:t>
            </w:r>
          </w:p>
          <w:p w:rsidR="00AF456B" w:rsidRDefault="00AF456B" w:rsidP="00BA4085">
            <w:r>
              <w:t>lezen</w:t>
            </w:r>
          </w:p>
        </w:tc>
        <w:tc>
          <w:tcPr>
            <w:tcW w:w="1071" w:type="dxa"/>
          </w:tcPr>
          <w:p w:rsidR="00AF456B" w:rsidRDefault="00AF456B" w:rsidP="00BA4085">
            <w:r>
              <w:t xml:space="preserve">Aantal </w:t>
            </w:r>
            <w:proofErr w:type="spellStart"/>
            <w:r>
              <w:t>lln</w:t>
            </w:r>
            <w:proofErr w:type="spellEnd"/>
            <w:r>
              <w:t xml:space="preserve"> </w:t>
            </w:r>
          </w:p>
          <w:p w:rsidR="00AF456B" w:rsidRDefault="00AF456B" w:rsidP="00BA4085">
            <w:r>
              <w:t xml:space="preserve"> 2F </w:t>
            </w:r>
          </w:p>
          <w:p w:rsidR="00AF456B" w:rsidRDefault="00AF456B" w:rsidP="00BA4085">
            <w:proofErr w:type="spellStart"/>
            <w:r>
              <w:t>taalverz</w:t>
            </w:r>
            <w:proofErr w:type="spellEnd"/>
          </w:p>
        </w:tc>
        <w:tc>
          <w:tcPr>
            <w:tcW w:w="1081" w:type="dxa"/>
          </w:tcPr>
          <w:p w:rsidR="00AF456B" w:rsidRDefault="00AF456B" w:rsidP="00BA4085">
            <w:r>
              <w:t xml:space="preserve">Aantal </w:t>
            </w:r>
            <w:proofErr w:type="spellStart"/>
            <w:r>
              <w:t>lln</w:t>
            </w:r>
            <w:proofErr w:type="spellEnd"/>
            <w:r>
              <w:t xml:space="preserve"> </w:t>
            </w:r>
          </w:p>
          <w:p w:rsidR="00AF456B" w:rsidRDefault="00AF456B" w:rsidP="00BA4085">
            <w:r>
              <w:t xml:space="preserve">1S </w:t>
            </w:r>
          </w:p>
          <w:p w:rsidR="00AF456B" w:rsidRDefault="00AF456B" w:rsidP="00BA4085">
            <w:r>
              <w:t>rekenen</w:t>
            </w:r>
          </w:p>
        </w:tc>
      </w:tr>
      <w:tr w:rsidR="007B0843" w:rsidTr="00873310">
        <w:tc>
          <w:tcPr>
            <w:tcW w:w="1271" w:type="dxa"/>
          </w:tcPr>
          <w:p w:rsidR="00AF456B" w:rsidRDefault="00AF456B" w:rsidP="00BA4085">
            <w:r>
              <w:t>2016-20</w:t>
            </w:r>
            <w:r w:rsidRPr="0021614D">
              <w:rPr>
                <w:b/>
              </w:rPr>
              <w:t>17</w:t>
            </w:r>
          </w:p>
        </w:tc>
        <w:tc>
          <w:tcPr>
            <w:tcW w:w="1134" w:type="dxa"/>
          </w:tcPr>
          <w:p w:rsidR="00AF456B" w:rsidRDefault="0021614D" w:rsidP="00BA4085">
            <w:r>
              <w:t>31</w:t>
            </w:r>
          </w:p>
        </w:tc>
        <w:tc>
          <w:tcPr>
            <w:tcW w:w="1134" w:type="dxa"/>
          </w:tcPr>
          <w:p w:rsidR="00AF456B" w:rsidRDefault="008F2295" w:rsidP="00BA4085">
            <w:r>
              <w:t>31</w:t>
            </w:r>
          </w:p>
        </w:tc>
        <w:tc>
          <w:tcPr>
            <w:tcW w:w="1134" w:type="dxa"/>
          </w:tcPr>
          <w:p w:rsidR="00AF456B" w:rsidRDefault="008F2295" w:rsidP="00BA4085">
            <w:r>
              <w:t>31</w:t>
            </w:r>
          </w:p>
        </w:tc>
        <w:tc>
          <w:tcPr>
            <w:tcW w:w="1134" w:type="dxa"/>
          </w:tcPr>
          <w:p w:rsidR="00AF456B" w:rsidRDefault="008F2295" w:rsidP="00BA4085">
            <w:r>
              <w:t>28</w:t>
            </w:r>
          </w:p>
        </w:tc>
        <w:tc>
          <w:tcPr>
            <w:tcW w:w="1103" w:type="dxa"/>
          </w:tcPr>
          <w:p w:rsidR="00AF456B" w:rsidRDefault="00674254" w:rsidP="00BA4085">
            <w:r>
              <w:t>24</w:t>
            </w:r>
          </w:p>
        </w:tc>
        <w:tc>
          <w:tcPr>
            <w:tcW w:w="1071" w:type="dxa"/>
          </w:tcPr>
          <w:p w:rsidR="00AF456B" w:rsidRDefault="00674254" w:rsidP="00BA4085">
            <w:r>
              <w:t>19</w:t>
            </w:r>
          </w:p>
        </w:tc>
        <w:tc>
          <w:tcPr>
            <w:tcW w:w="1081" w:type="dxa"/>
          </w:tcPr>
          <w:p w:rsidR="00AF456B" w:rsidRDefault="00674254" w:rsidP="00BA4085">
            <w:r>
              <w:t>10</w:t>
            </w:r>
          </w:p>
        </w:tc>
      </w:tr>
      <w:tr w:rsidR="007B0843" w:rsidTr="00873310">
        <w:tc>
          <w:tcPr>
            <w:tcW w:w="1271" w:type="dxa"/>
          </w:tcPr>
          <w:p w:rsidR="00AF456B" w:rsidRDefault="00AF456B" w:rsidP="00BA4085">
            <w:r>
              <w:t>2017-20</w:t>
            </w:r>
            <w:r w:rsidRPr="0021614D">
              <w:rPr>
                <w:b/>
              </w:rPr>
              <w:t>18</w:t>
            </w:r>
          </w:p>
        </w:tc>
        <w:tc>
          <w:tcPr>
            <w:tcW w:w="1134" w:type="dxa"/>
          </w:tcPr>
          <w:p w:rsidR="00AF456B" w:rsidRDefault="00474200" w:rsidP="00BA4085">
            <w:r>
              <w:t>33</w:t>
            </w:r>
          </w:p>
        </w:tc>
        <w:tc>
          <w:tcPr>
            <w:tcW w:w="1134" w:type="dxa"/>
          </w:tcPr>
          <w:p w:rsidR="00AF456B" w:rsidRDefault="008F2295" w:rsidP="00BA4085">
            <w:r>
              <w:t>33</w:t>
            </w:r>
          </w:p>
        </w:tc>
        <w:tc>
          <w:tcPr>
            <w:tcW w:w="1134" w:type="dxa"/>
          </w:tcPr>
          <w:p w:rsidR="00AF456B" w:rsidRDefault="001B5946" w:rsidP="00BA4085">
            <w:r>
              <w:t>33</w:t>
            </w:r>
          </w:p>
        </w:tc>
        <w:tc>
          <w:tcPr>
            <w:tcW w:w="1134" w:type="dxa"/>
          </w:tcPr>
          <w:p w:rsidR="00AF456B" w:rsidRDefault="008F2295" w:rsidP="00BA4085">
            <w:r>
              <w:t>33</w:t>
            </w:r>
          </w:p>
        </w:tc>
        <w:tc>
          <w:tcPr>
            <w:tcW w:w="1103" w:type="dxa"/>
          </w:tcPr>
          <w:p w:rsidR="00AF456B" w:rsidRDefault="0085494C" w:rsidP="00BA4085">
            <w:r>
              <w:t>25</w:t>
            </w:r>
          </w:p>
        </w:tc>
        <w:tc>
          <w:tcPr>
            <w:tcW w:w="1071" w:type="dxa"/>
          </w:tcPr>
          <w:p w:rsidR="00AF456B" w:rsidRDefault="0085494C" w:rsidP="00BA4085">
            <w:r>
              <w:t>15</w:t>
            </w:r>
          </w:p>
        </w:tc>
        <w:tc>
          <w:tcPr>
            <w:tcW w:w="1081" w:type="dxa"/>
          </w:tcPr>
          <w:p w:rsidR="00AF456B" w:rsidRDefault="0085494C" w:rsidP="00BA4085">
            <w:r>
              <w:t>4</w:t>
            </w:r>
          </w:p>
        </w:tc>
      </w:tr>
      <w:tr w:rsidR="007B0843" w:rsidTr="00873310">
        <w:tc>
          <w:tcPr>
            <w:tcW w:w="1271" w:type="dxa"/>
          </w:tcPr>
          <w:p w:rsidR="00AF456B" w:rsidRDefault="00AF456B" w:rsidP="00BA4085">
            <w:r>
              <w:t>2018-20</w:t>
            </w:r>
            <w:r w:rsidRPr="0021614D">
              <w:rPr>
                <w:b/>
              </w:rPr>
              <w:t>19</w:t>
            </w:r>
          </w:p>
        </w:tc>
        <w:tc>
          <w:tcPr>
            <w:tcW w:w="1134" w:type="dxa"/>
          </w:tcPr>
          <w:p w:rsidR="00AF456B" w:rsidRDefault="008E0AD0" w:rsidP="00BA4085">
            <w:r>
              <w:t>28</w:t>
            </w:r>
          </w:p>
        </w:tc>
        <w:tc>
          <w:tcPr>
            <w:tcW w:w="1134" w:type="dxa"/>
          </w:tcPr>
          <w:p w:rsidR="00AF456B" w:rsidRDefault="001B5946" w:rsidP="00BA4085">
            <w:r>
              <w:t>27</w:t>
            </w:r>
          </w:p>
        </w:tc>
        <w:tc>
          <w:tcPr>
            <w:tcW w:w="1134" w:type="dxa"/>
          </w:tcPr>
          <w:p w:rsidR="00AF456B" w:rsidRDefault="001B5946" w:rsidP="00BA4085">
            <w:r>
              <w:t>25</w:t>
            </w:r>
          </w:p>
        </w:tc>
        <w:tc>
          <w:tcPr>
            <w:tcW w:w="1134" w:type="dxa"/>
          </w:tcPr>
          <w:p w:rsidR="00AF456B" w:rsidRDefault="001B5946" w:rsidP="00BA4085">
            <w:r>
              <w:t>25</w:t>
            </w:r>
          </w:p>
        </w:tc>
        <w:tc>
          <w:tcPr>
            <w:tcW w:w="1103" w:type="dxa"/>
          </w:tcPr>
          <w:p w:rsidR="00AF456B" w:rsidRDefault="007B0843" w:rsidP="00BA4085">
            <w:r>
              <w:t>24</w:t>
            </w:r>
          </w:p>
        </w:tc>
        <w:tc>
          <w:tcPr>
            <w:tcW w:w="1071" w:type="dxa"/>
          </w:tcPr>
          <w:p w:rsidR="00AF456B" w:rsidRDefault="007B0843" w:rsidP="00BA4085">
            <w:r>
              <w:t>11</w:t>
            </w:r>
          </w:p>
        </w:tc>
        <w:tc>
          <w:tcPr>
            <w:tcW w:w="1081" w:type="dxa"/>
          </w:tcPr>
          <w:p w:rsidR="00AF456B" w:rsidRDefault="007B0843" w:rsidP="00BA4085">
            <w:r>
              <w:t>8</w:t>
            </w:r>
          </w:p>
        </w:tc>
      </w:tr>
      <w:tr w:rsidR="007B0843" w:rsidTr="00873310">
        <w:tc>
          <w:tcPr>
            <w:tcW w:w="1271" w:type="dxa"/>
          </w:tcPr>
          <w:p w:rsidR="00AF456B" w:rsidRDefault="00AF456B" w:rsidP="00BA4085"/>
        </w:tc>
        <w:tc>
          <w:tcPr>
            <w:tcW w:w="1134" w:type="dxa"/>
          </w:tcPr>
          <w:p w:rsidR="00AF456B" w:rsidRDefault="00AF456B" w:rsidP="00BA4085"/>
        </w:tc>
        <w:tc>
          <w:tcPr>
            <w:tcW w:w="1134" w:type="dxa"/>
          </w:tcPr>
          <w:p w:rsidR="00AF456B" w:rsidRDefault="00AF456B" w:rsidP="00BA4085"/>
        </w:tc>
        <w:tc>
          <w:tcPr>
            <w:tcW w:w="1134" w:type="dxa"/>
          </w:tcPr>
          <w:p w:rsidR="00AF456B" w:rsidRDefault="00AF456B" w:rsidP="00BA4085"/>
        </w:tc>
        <w:tc>
          <w:tcPr>
            <w:tcW w:w="1134" w:type="dxa"/>
          </w:tcPr>
          <w:p w:rsidR="00AF456B" w:rsidRDefault="00AF456B" w:rsidP="00BA4085"/>
        </w:tc>
        <w:tc>
          <w:tcPr>
            <w:tcW w:w="1103" w:type="dxa"/>
          </w:tcPr>
          <w:p w:rsidR="00AF456B" w:rsidRDefault="00AF456B" w:rsidP="00BA4085"/>
        </w:tc>
        <w:tc>
          <w:tcPr>
            <w:tcW w:w="1071" w:type="dxa"/>
          </w:tcPr>
          <w:p w:rsidR="00AF456B" w:rsidRDefault="00AF456B" w:rsidP="00BA4085"/>
        </w:tc>
        <w:tc>
          <w:tcPr>
            <w:tcW w:w="1081" w:type="dxa"/>
          </w:tcPr>
          <w:p w:rsidR="00AF456B" w:rsidRDefault="00AF456B" w:rsidP="00BA4085"/>
        </w:tc>
      </w:tr>
      <w:tr w:rsidR="007B0843" w:rsidTr="00873310">
        <w:tc>
          <w:tcPr>
            <w:tcW w:w="1271" w:type="dxa"/>
          </w:tcPr>
          <w:p w:rsidR="00AF456B" w:rsidRPr="00873310" w:rsidRDefault="00873310" w:rsidP="00BA4085">
            <w:pPr>
              <w:rPr>
                <w:b/>
              </w:rPr>
            </w:pPr>
            <w:r>
              <w:rPr>
                <w:b/>
              </w:rPr>
              <w:t>Totaal</w:t>
            </w:r>
          </w:p>
        </w:tc>
        <w:tc>
          <w:tcPr>
            <w:tcW w:w="1134" w:type="dxa"/>
          </w:tcPr>
          <w:p w:rsidR="0088061E" w:rsidRDefault="00474200" w:rsidP="00BA4085">
            <w:r>
              <w:t>92</w:t>
            </w:r>
            <w:r w:rsidR="00716503">
              <w:t xml:space="preserve"> </w:t>
            </w:r>
          </w:p>
        </w:tc>
        <w:tc>
          <w:tcPr>
            <w:tcW w:w="1134" w:type="dxa"/>
          </w:tcPr>
          <w:p w:rsidR="0088061E" w:rsidRDefault="001B5946" w:rsidP="00BA4085">
            <w:r>
              <w:t>91</w:t>
            </w:r>
          </w:p>
        </w:tc>
        <w:tc>
          <w:tcPr>
            <w:tcW w:w="1134" w:type="dxa"/>
          </w:tcPr>
          <w:p w:rsidR="00AF456B" w:rsidRDefault="001B5946" w:rsidP="00BA4085">
            <w:r>
              <w:t>89</w:t>
            </w:r>
          </w:p>
        </w:tc>
        <w:tc>
          <w:tcPr>
            <w:tcW w:w="1134" w:type="dxa"/>
          </w:tcPr>
          <w:p w:rsidR="00AF456B" w:rsidRDefault="001B5946" w:rsidP="00BA4085">
            <w:r>
              <w:t>86</w:t>
            </w:r>
          </w:p>
        </w:tc>
        <w:tc>
          <w:tcPr>
            <w:tcW w:w="1103" w:type="dxa"/>
          </w:tcPr>
          <w:p w:rsidR="00AF456B" w:rsidRDefault="001B5946" w:rsidP="00BA4085">
            <w:r>
              <w:t>73</w:t>
            </w:r>
          </w:p>
        </w:tc>
        <w:tc>
          <w:tcPr>
            <w:tcW w:w="1071" w:type="dxa"/>
          </w:tcPr>
          <w:p w:rsidR="00AF456B" w:rsidRDefault="001B5946" w:rsidP="00BA4085">
            <w:r>
              <w:t>45</w:t>
            </w:r>
          </w:p>
        </w:tc>
        <w:tc>
          <w:tcPr>
            <w:tcW w:w="1081" w:type="dxa"/>
          </w:tcPr>
          <w:p w:rsidR="00AF456B" w:rsidRDefault="008F2295" w:rsidP="00BA4085">
            <w:r>
              <w:t>22</w:t>
            </w:r>
          </w:p>
        </w:tc>
      </w:tr>
      <w:tr w:rsidR="001B5946" w:rsidTr="00873310">
        <w:tc>
          <w:tcPr>
            <w:tcW w:w="1271" w:type="dxa"/>
          </w:tcPr>
          <w:p w:rsidR="001B5946" w:rsidRDefault="001B5946" w:rsidP="00BA4085">
            <w:pPr>
              <w:rPr>
                <w:b/>
              </w:rPr>
            </w:pPr>
          </w:p>
        </w:tc>
        <w:tc>
          <w:tcPr>
            <w:tcW w:w="1134" w:type="dxa"/>
          </w:tcPr>
          <w:p w:rsidR="001B5946" w:rsidRDefault="001B5946" w:rsidP="00BA4085"/>
        </w:tc>
        <w:tc>
          <w:tcPr>
            <w:tcW w:w="1134" w:type="dxa"/>
          </w:tcPr>
          <w:p w:rsidR="001B5946" w:rsidRDefault="001B5946" w:rsidP="00BA4085"/>
        </w:tc>
        <w:tc>
          <w:tcPr>
            <w:tcW w:w="1134" w:type="dxa"/>
          </w:tcPr>
          <w:p w:rsidR="001B5946" w:rsidRDefault="001B5946" w:rsidP="00BA4085"/>
        </w:tc>
        <w:tc>
          <w:tcPr>
            <w:tcW w:w="1134" w:type="dxa"/>
          </w:tcPr>
          <w:p w:rsidR="001B5946" w:rsidRDefault="001B5946" w:rsidP="00BA4085"/>
        </w:tc>
        <w:tc>
          <w:tcPr>
            <w:tcW w:w="1103" w:type="dxa"/>
          </w:tcPr>
          <w:p w:rsidR="001B5946" w:rsidRDefault="001B5946" w:rsidP="00BA4085"/>
        </w:tc>
        <w:tc>
          <w:tcPr>
            <w:tcW w:w="1071" w:type="dxa"/>
          </w:tcPr>
          <w:p w:rsidR="001B5946" w:rsidRDefault="001B5946" w:rsidP="00BA4085"/>
        </w:tc>
        <w:tc>
          <w:tcPr>
            <w:tcW w:w="1081" w:type="dxa"/>
          </w:tcPr>
          <w:p w:rsidR="001B5946" w:rsidRDefault="001B5946" w:rsidP="00BA4085"/>
        </w:tc>
      </w:tr>
    </w:tbl>
    <w:p w:rsidR="00C33B32" w:rsidRDefault="00C33B32"/>
    <w:p w:rsidR="00873310" w:rsidRDefault="00873310"/>
    <w:p w:rsidR="00873310" w:rsidRDefault="00873310">
      <w:r w:rsidRPr="00873310">
        <w:rPr>
          <w:b/>
        </w:rPr>
        <w:t xml:space="preserve">Uitwerking rekenregel voor 1F </w:t>
      </w:r>
      <w:r>
        <w:br/>
      </w:r>
      <w:r w:rsidRPr="00873310">
        <w:br/>
      </w:r>
      <w:r>
        <w:t xml:space="preserve">1. Tel alle 1F totalen bij elkaar op =  </w:t>
      </w:r>
      <w:r w:rsidR="0008429D">
        <w:t>..</w:t>
      </w:r>
      <w:r>
        <w:t xml:space="preserve"> +  </w:t>
      </w:r>
      <w:r w:rsidR="0008429D">
        <w:t>..</w:t>
      </w:r>
      <w:r>
        <w:t xml:space="preserve"> +</w:t>
      </w:r>
      <w:r w:rsidR="0008429D">
        <w:t xml:space="preserve"> ..</w:t>
      </w:r>
      <w:r>
        <w:t xml:space="preserve">   = </w:t>
      </w:r>
      <w:r w:rsidR="0008429D">
        <w:t>…</w:t>
      </w:r>
      <w:r>
        <w:t xml:space="preserve"> (=A)</w:t>
      </w:r>
      <w:r>
        <w:br/>
        <w:t xml:space="preserve">2. Vermenigvuldig het totaal </w:t>
      </w:r>
      <w:r w:rsidR="00D20779">
        <w:t xml:space="preserve">aantal leerlingen met 3 = 3 x </w:t>
      </w:r>
      <w:r w:rsidR="007F3D2F">
        <w:t>..</w:t>
      </w:r>
      <w:r w:rsidR="00D20779">
        <w:t xml:space="preserve"> = </w:t>
      </w:r>
      <w:r w:rsidR="007F3D2F">
        <w:t>…</w:t>
      </w:r>
      <w:r>
        <w:t xml:space="preserve"> (=B)</w:t>
      </w:r>
    </w:p>
    <w:p w:rsidR="00BE076B" w:rsidRDefault="00873310">
      <w:r>
        <w:t xml:space="preserve">3. Deel A door B = </w:t>
      </w:r>
      <w:r w:rsidR="0008429D">
        <w:t xml:space="preserve">… </w:t>
      </w:r>
      <w:r>
        <w:t xml:space="preserve"> : </w:t>
      </w:r>
      <w:r w:rsidR="007F3D2F">
        <w:t>…</w:t>
      </w:r>
      <w:r>
        <w:t xml:space="preserve"> = 0,</w:t>
      </w:r>
      <w:r w:rsidR="0008429D">
        <w:t xml:space="preserve">  (=C)</w:t>
      </w:r>
      <w:r>
        <w:t xml:space="preserve"> </w:t>
      </w:r>
      <w:r>
        <w:br/>
        <w:t>4. Vermenigvuldig C met 100 = 100 x 0,</w:t>
      </w:r>
      <w:r w:rsidR="0008429D">
        <w:t>….</w:t>
      </w:r>
      <w:r>
        <w:t xml:space="preserve"> =  → p</w:t>
      </w:r>
      <w:r w:rsidR="007F3D2F">
        <w:t>e</w:t>
      </w:r>
      <w:r>
        <w:t>rcentage-1F</w:t>
      </w:r>
      <w:r w:rsidR="00273CA0">
        <w:t xml:space="preserve"> (=D)</w:t>
      </w:r>
    </w:p>
    <w:p w:rsidR="0008429D" w:rsidRPr="007F3D2F" w:rsidRDefault="0008429D">
      <w:pPr>
        <w:rPr>
          <w:b/>
          <w:color w:val="FF0000"/>
        </w:rPr>
      </w:pPr>
      <w:r w:rsidRPr="0008429D">
        <w:rPr>
          <w:b/>
        </w:rPr>
        <w:t xml:space="preserve">Bereken op dezelfde wijze het percentage 2F/1S </w:t>
      </w:r>
    </w:p>
    <w:p w:rsidR="0008429D" w:rsidRDefault="0008429D">
      <w:r>
        <w:t>1. Tel de totalen 2F/1S bij elkaar op = .. + .. + .. = …  (=</w:t>
      </w:r>
      <w:r w:rsidR="00273CA0">
        <w:t>E</w:t>
      </w:r>
      <w:r>
        <w:t xml:space="preserve">) </w:t>
      </w:r>
      <w:r>
        <w:br/>
        <w:t xml:space="preserve">2. Vermenigvuldig het </w:t>
      </w:r>
      <w:r w:rsidR="00D20779">
        <w:t xml:space="preserve">aantal leerlingen met 3 = 3 x </w:t>
      </w:r>
      <w:r w:rsidR="007F3D2F">
        <w:t>..</w:t>
      </w:r>
      <w:r w:rsidR="00D20779">
        <w:t xml:space="preserve"> = </w:t>
      </w:r>
      <w:r w:rsidR="007F3D2F">
        <w:t>…</w:t>
      </w:r>
      <w:r>
        <w:t xml:space="preserve"> (=</w:t>
      </w:r>
      <w:r w:rsidR="00273CA0">
        <w:t>F</w:t>
      </w:r>
      <w:r>
        <w:t xml:space="preserve">) </w:t>
      </w:r>
    </w:p>
    <w:p w:rsidR="0008429D" w:rsidRDefault="00D20779">
      <w:r>
        <w:t xml:space="preserve">3. Deel A door B = … : </w:t>
      </w:r>
      <w:r w:rsidR="007F3D2F">
        <w:t>…</w:t>
      </w:r>
      <w:r w:rsidR="0008429D">
        <w:t xml:space="preserve"> = 0,…. </w:t>
      </w:r>
      <w:r w:rsidR="00273CA0">
        <w:t>(=G)</w:t>
      </w:r>
      <w:r w:rsidR="0008429D">
        <w:br/>
        <w:t>4. Vermenigvuldig C met 100 = 100 x 0,… = …. → percentage-2F/1S</w:t>
      </w:r>
      <w:r w:rsidR="00273CA0">
        <w:t xml:space="preserve"> (=H)</w:t>
      </w:r>
    </w:p>
    <w:p w:rsidR="00D20779" w:rsidRPr="006C2DC2" w:rsidRDefault="00892123" w:rsidP="00D20779">
      <w:pPr>
        <w:rPr>
          <w:b/>
        </w:rPr>
      </w:pPr>
      <w:r>
        <w:rPr>
          <w:b/>
        </w:rPr>
        <w:br/>
      </w:r>
      <w:r w:rsidR="00D20779">
        <w:rPr>
          <w:b/>
        </w:rPr>
        <w:t>Ingevulde</w:t>
      </w:r>
      <w:r w:rsidR="00716503">
        <w:rPr>
          <w:b/>
        </w:rPr>
        <w:t xml:space="preserve"> u</w:t>
      </w:r>
      <w:r w:rsidR="00D20779" w:rsidRPr="00873310">
        <w:rPr>
          <w:b/>
        </w:rPr>
        <w:t xml:space="preserve">itwerking rekenregel voor 1F </w:t>
      </w:r>
      <w:r w:rsidR="00716503">
        <w:rPr>
          <w:b/>
          <w:color w:val="FF0000"/>
        </w:rPr>
        <w:t>&lt;Voorbeeldschool&gt; :</w:t>
      </w:r>
      <w:r w:rsidR="00D20779">
        <w:br/>
      </w:r>
      <w:r w:rsidR="00D20779" w:rsidRPr="00873310">
        <w:br/>
      </w:r>
      <w:r w:rsidR="00D20779">
        <w:t>1. Tel alle 1F totalen bij elkaar op =91 + 89 + 86 = 266</w:t>
      </w:r>
      <w:r w:rsidR="00716503">
        <w:t xml:space="preserve"> (</w:t>
      </w:r>
      <w:r w:rsidR="00D20779">
        <w:t>=A)</w:t>
      </w:r>
      <w:r w:rsidR="00D20779">
        <w:br/>
        <w:t>2. Vermenigvuldig het totaal aantal leerlingen met 3 = 3 x 92 = 276 (=B)</w:t>
      </w:r>
    </w:p>
    <w:p w:rsidR="00A65B59" w:rsidRDefault="00D20779" w:rsidP="00D20779">
      <w:r>
        <w:t>3. Deel A door B = 266</w:t>
      </w:r>
      <w:r w:rsidR="00716503">
        <w:t xml:space="preserve"> </w:t>
      </w:r>
      <w:r>
        <w:t xml:space="preserve">: 276 = 0, 96 (=C) </w:t>
      </w:r>
      <w:r>
        <w:br/>
        <w:t>4. Vermenigvuldig C met 100 = 100 x 0,96</w:t>
      </w:r>
      <w:r w:rsidR="00716503">
        <w:t xml:space="preserve"> </w:t>
      </w:r>
      <w:r>
        <w:t xml:space="preserve">= </w:t>
      </w:r>
      <w:r w:rsidRPr="00A47F2C">
        <w:rPr>
          <w:b/>
        </w:rPr>
        <w:t>96%</w:t>
      </w:r>
      <w:r>
        <w:t xml:space="preserve"> → prcentage-1F </w:t>
      </w:r>
      <w:r w:rsidR="00716503">
        <w:t>laatste 3 schooljaren</w:t>
      </w:r>
    </w:p>
    <w:p w:rsidR="00D20779" w:rsidRPr="0008429D" w:rsidRDefault="00D20779" w:rsidP="00D20779">
      <w:pPr>
        <w:rPr>
          <w:b/>
        </w:rPr>
      </w:pPr>
      <w:r w:rsidRPr="0008429D">
        <w:rPr>
          <w:b/>
        </w:rPr>
        <w:t xml:space="preserve"> </w:t>
      </w:r>
      <w:r w:rsidR="00716503">
        <w:rPr>
          <w:b/>
        </w:rPr>
        <w:t>Ingevulde u</w:t>
      </w:r>
      <w:r w:rsidR="00716503" w:rsidRPr="00873310">
        <w:rPr>
          <w:b/>
        </w:rPr>
        <w:t xml:space="preserve">itwerking rekenregel voor </w:t>
      </w:r>
      <w:r w:rsidR="00716503">
        <w:rPr>
          <w:b/>
        </w:rPr>
        <w:t xml:space="preserve">2F / 1S </w:t>
      </w:r>
      <w:r w:rsidR="00716503" w:rsidRPr="00873310">
        <w:rPr>
          <w:b/>
        </w:rPr>
        <w:t xml:space="preserve"> </w:t>
      </w:r>
      <w:r w:rsidR="00716503">
        <w:rPr>
          <w:b/>
          <w:color w:val="FF0000"/>
        </w:rPr>
        <w:t>&lt;Voorbeeldschool&gt; :</w:t>
      </w:r>
    </w:p>
    <w:p w:rsidR="00D20779" w:rsidRDefault="00D20779" w:rsidP="00D20779">
      <w:r>
        <w:t>1. Tel de totalen 2F/1S bij elkaar op =73 + 45 + 22 = 140 (=</w:t>
      </w:r>
      <w:r w:rsidR="00716503">
        <w:t>D</w:t>
      </w:r>
      <w:r>
        <w:t xml:space="preserve">) </w:t>
      </w:r>
      <w:r>
        <w:br/>
        <w:t>2. Vermenigvuldig het aantal leerlingen met 3 = 3 x 92 = 276 (=</w:t>
      </w:r>
      <w:r w:rsidR="00716503">
        <w:t>E</w:t>
      </w:r>
      <w:r>
        <w:t xml:space="preserve">) </w:t>
      </w:r>
    </w:p>
    <w:p w:rsidR="0008429D" w:rsidRDefault="00D20779">
      <w:r>
        <w:t xml:space="preserve">3. Deel </w:t>
      </w:r>
      <w:r w:rsidR="00716503">
        <w:t>D</w:t>
      </w:r>
      <w:r>
        <w:t xml:space="preserve"> door </w:t>
      </w:r>
      <w:r w:rsidR="00716503">
        <w:t>E</w:t>
      </w:r>
      <w:r>
        <w:t xml:space="preserve"> = 140</w:t>
      </w:r>
      <w:r w:rsidR="00716503">
        <w:t xml:space="preserve"> </w:t>
      </w:r>
      <w:r>
        <w:t>: 276 = 0,51 (=</w:t>
      </w:r>
      <w:r w:rsidR="00716503">
        <w:t>F</w:t>
      </w:r>
      <w:r>
        <w:t>)</w:t>
      </w:r>
      <w:r>
        <w:br/>
        <w:t xml:space="preserve">4. Vermenigvuldig </w:t>
      </w:r>
      <w:r w:rsidR="00716503">
        <w:t>F</w:t>
      </w:r>
      <w:r>
        <w:t xml:space="preserve"> met 100 = 100 x 0</w:t>
      </w:r>
      <w:r w:rsidR="00716503">
        <w:t>,</w:t>
      </w:r>
      <w:r>
        <w:t>51</w:t>
      </w:r>
      <w:r w:rsidR="00716503">
        <w:t xml:space="preserve"> </w:t>
      </w:r>
      <w:r>
        <w:t xml:space="preserve">= </w:t>
      </w:r>
      <w:r w:rsidR="00716503">
        <w:t>5</w:t>
      </w:r>
      <w:r w:rsidRPr="00A47F2C">
        <w:rPr>
          <w:b/>
        </w:rPr>
        <w:t>1%</w:t>
      </w:r>
      <w:r>
        <w:t xml:space="preserve">. → percentage-2F/1S </w:t>
      </w:r>
      <w:r w:rsidR="00716503">
        <w:t>laatste 3 schooljaren</w:t>
      </w:r>
    </w:p>
    <w:p w:rsidR="0008429D" w:rsidRDefault="0008429D">
      <w:pPr>
        <w:rPr>
          <w:b/>
        </w:rPr>
      </w:pPr>
      <w:r>
        <w:rPr>
          <w:b/>
        </w:rPr>
        <w:t>Berekening behaalde percentage t.o.v. signaleringswaarde:</w:t>
      </w:r>
    </w:p>
    <w:tbl>
      <w:tblPr>
        <w:tblStyle w:val="Tabelraster"/>
        <w:tblW w:w="5665" w:type="dxa"/>
        <w:tblLook w:val="04A0" w:firstRow="1" w:lastRow="0" w:firstColumn="1" w:lastColumn="0" w:noHBand="0" w:noVBand="1"/>
      </w:tblPr>
      <w:tblGrid>
        <w:gridCol w:w="1449"/>
        <w:gridCol w:w="1352"/>
        <w:gridCol w:w="1307"/>
        <w:gridCol w:w="1557"/>
      </w:tblGrid>
      <w:tr w:rsidR="00273CA0" w:rsidRPr="00273CA0" w:rsidTr="00273CA0">
        <w:tc>
          <w:tcPr>
            <w:tcW w:w="1449" w:type="dxa"/>
          </w:tcPr>
          <w:p w:rsidR="00273CA0" w:rsidRPr="00273CA0" w:rsidRDefault="00273CA0">
            <w:r w:rsidRPr="00273CA0">
              <w:t>Schoolweging CBS</w:t>
            </w:r>
          </w:p>
        </w:tc>
        <w:tc>
          <w:tcPr>
            <w:tcW w:w="1352" w:type="dxa"/>
          </w:tcPr>
          <w:p w:rsidR="00273CA0" w:rsidRPr="00273CA0" w:rsidRDefault="00273CA0">
            <w:r>
              <w:t xml:space="preserve">Signalerings-waarde 1F </w:t>
            </w:r>
          </w:p>
        </w:tc>
        <w:tc>
          <w:tcPr>
            <w:tcW w:w="1307" w:type="dxa"/>
          </w:tcPr>
          <w:p w:rsidR="00273CA0" w:rsidRPr="00273CA0" w:rsidRDefault="00273CA0" w:rsidP="00273CA0">
            <w:r>
              <w:t>Landelijk Gemiddelde 1F</w:t>
            </w:r>
          </w:p>
        </w:tc>
        <w:tc>
          <w:tcPr>
            <w:tcW w:w="1557" w:type="dxa"/>
          </w:tcPr>
          <w:p w:rsidR="00273CA0" w:rsidRDefault="00273CA0">
            <w:r>
              <w:t xml:space="preserve">Behaalde </w:t>
            </w:r>
          </w:p>
          <w:p w:rsidR="00273CA0" w:rsidRPr="00273CA0" w:rsidRDefault="00273CA0" w:rsidP="00273CA0">
            <w:r>
              <w:t>Percentage 1F</w:t>
            </w:r>
          </w:p>
        </w:tc>
      </w:tr>
      <w:tr w:rsidR="00273CA0" w:rsidTr="00716503">
        <w:tc>
          <w:tcPr>
            <w:tcW w:w="1449" w:type="dxa"/>
          </w:tcPr>
          <w:p w:rsidR="00273CA0" w:rsidRDefault="008E0AD0">
            <w:pPr>
              <w:rPr>
                <w:b/>
              </w:rPr>
            </w:pPr>
            <w:r>
              <w:rPr>
                <w:b/>
              </w:rPr>
              <w:t>30,2</w:t>
            </w:r>
          </w:p>
        </w:tc>
        <w:tc>
          <w:tcPr>
            <w:tcW w:w="1352" w:type="dxa"/>
          </w:tcPr>
          <w:p w:rsidR="00273CA0" w:rsidRDefault="00474200">
            <w:pPr>
              <w:rPr>
                <w:b/>
              </w:rPr>
            </w:pPr>
            <w:r w:rsidRPr="00716503">
              <w:rPr>
                <w:b/>
                <w:highlight w:val="green"/>
              </w:rPr>
              <w:t>85%</w:t>
            </w:r>
          </w:p>
        </w:tc>
        <w:tc>
          <w:tcPr>
            <w:tcW w:w="1307" w:type="dxa"/>
          </w:tcPr>
          <w:p w:rsidR="00273CA0" w:rsidRDefault="00273CA0">
            <w:pPr>
              <w:rPr>
                <w:b/>
              </w:rPr>
            </w:pPr>
          </w:p>
        </w:tc>
        <w:tc>
          <w:tcPr>
            <w:tcW w:w="1557" w:type="dxa"/>
            <w:shd w:val="clear" w:color="auto" w:fill="FFFFFF" w:themeFill="background1"/>
          </w:tcPr>
          <w:p w:rsidR="00273CA0" w:rsidRDefault="00A47F2C">
            <w:pPr>
              <w:rPr>
                <w:b/>
              </w:rPr>
            </w:pPr>
            <w:r w:rsidRPr="00716503">
              <w:rPr>
                <w:b/>
              </w:rPr>
              <w:t>96%</w:t>
            </w:r>
          </w:p>
        </w:tc>
      </w:tr>
      <w:tr w:rsidR="00273CA0" w:rsidTr="00273CA0">
        <w:tc>
          <w:tcPr>
            <w:tcW w:w="1449" w:type="dxa"/>
          </w:tcPr>
          <w:p w:rsidR="00273CA0" w:rsidRDefault="00273CA0">
            <w:pPr>
              <w:rPr>
                <w:b/>
              </w:rPr>
            </w:pPr>
          </w:p>
        </w:tc>
        <w:tc>
          <w:tcPr>
            <w:tcW w:w="1352" w:type="dxa"/>
          </w:tcPr>
          <w:p w:rsidR="00273CA0" w:rsidRDefault="00273CA0">
            <w:pPr>
              <w:rPr>
                <w:b/>
              </w:rPr>
            </w:pPr>
          </w:p>
        </w:tc>
        <w:tc>
          <w:tcPr>
            <w:tcW w:w="1307" w:type="dxa"/>
          </w:tcPr>
          <w:p w:rsidR="00273CA0" w:rsidRDefault="00273CA0">
            <w:pPr>
              <w:rPr>
                <w:b/>
              </w:rPr>
            </w:pPr>
          </w:p>
        </w:tc>
        <w:tc>
          <w:tcPr>
            <w:tcW w:w="1557" w:type="dxa"/>
          </w:tcPr>
          <w:p w:rsidR="00273CA0" w:rsidRDefault="00273CA0">
            <w:pPr>
              <w:rPr>
                <w:b/>
              </w:rPr>
            </w:pPr>
          </w:p>
        </w:tc>
      </w:tr>
    </w:tbl>
    <w:p w:rsidR="00A65B59" w:rsidRPr="00A65B59" w:rsidRDefault="00A65B59">
      <w:pPr>
        <w:rPr>
          <w:u w:val="single"/>
        </w:rPr>
      </w:pPr>
    </w:p>
    <w:tbl>
      <w:tblPr>
        <w:tblStyle w:val="Tabelraster"/>
        <w:tblW w:w="5665" w:type="dxa"/>
        <w:tblLook w:val="04A0" w:firstRow="1" w:lastRow="0" w:firstColumn="1" w:lastColumn="0" w:noHBand="0" w:noVBand="1"/>
      </w:tblPr>
      <w:tblGrid>
        <w:gridCol w:w="1449"/>
        <w:gridCol w:w="1352"/>
        <w:gridCol w:w="1307"/>
        <w:gridCol w:w="1557"/>
      </w:tblGrid>
      <w:tr w:rsidR="00273CA0" w:rsidRPr="00273CA0" w:rsidTr="00273CA0">
        <w:tc>
          <w:tcPr>
            <w:tcW w:w="1449" w:type="dxa"/>
          </w:tcPr>
          <w:p w:rsidR="00273CA0" w:rsidRPr="00273CA0" w:rsidRDefault="00273CA0" w:rsidP="00BA4085">
            <w:r w:rsidRPr="00273CA0">
              <w:t>Schoolweging CBS</w:t>
            </w:r>
          </w:p>
        </w:tc>
        <w:tc>
          <w:tcPr>
            <w:tcW w:w="1352" w:type="dxa"/>
          </w:tcPr>
          <w:p w:rsidR="00273CA0" w:rsidRPr="00273CA0" w:rsidRDefault="00273CA0" w:rsidP="00273CA0">
            <w:r>
              <w:t xml:space="preserve">Signalerings-waarde 2F/1S </w:t>
            </w:r>
          </w:p>
        </w:tc>
        <w:tc>
          <w:tcPr>
            <w:tcW w:w="1307" w:type="dxa"/>
          </w:tcPr>
          <w:p w:rsidR="00273CA0" w:rsidRPr="00273CA0" w:rsidRDefault="00273CA0" w:rsidP="00273CA0">
            <w:r>
              <w:t>Landelijk Gemiddelde 2F/1S</w:t>
            </w:r>
          </w:p>
        </w:tc>
        <w:tc>
          <w:tcPr>
            <w:tcW w:w="1557" w:type="dxa"/>
          </w:tcPr>
          <w:p w:rsidR="00273CA0" w:rsidRDefault="00273CA0" w:rsidP="00BA4085">
            <w:r>
              <w:t xml:space="preserve">Behaalde </w:t>
            </w:r>
          </w:p>
          <w:p w:rsidR="00273CA0" w:rsidRDefault="00273CA0" w:rsidP="00273CA0">
            <w:r>
              <w:t xml:space="preserve">Percentage </w:t>
            </w:r>
          </w:p>
          <w:p w:rsidR="00273CA0" w:rsidRPr="00273CA0" w:rsidRDefault="00273CA0" w:rsidP="00273CA0">
            <w:r>
              <w:t>2F/1S</w:t>
            </w:r>
          </w:p>
        </w:tc>
      </w:tr>
      <w:tr w:rsidR="00273CA0" w:rsidTr="00273CA0">
        <w:tc>
          <w:tcPr>
            <w:tcW w:w="1449" w:type="dxa"/>
          </w:tcPr>
          <w:p w:rsidR="00273CA0" w:rsidRDefault="00474200" w:rsidP="00BA4085">
            <w:pPr>
              <w:rPr>
                <w:b/>
              </w:rPr>
            </w:pPr>
            <w:r>
              <w:rPr>
                <w:b/>
              </w:rPr>
              <w:t>30,2</w:t>
            </w:r>
          </w:p>
        </w:tc>
        <w:tc>
          <w:tcPr>
            <w:tcW w:w="1352" w:type="dxa"/>
          </w:tcPr>
          <w:p w:rsidR="00273CA0" w:rsidRDefault="00474200" w:rsidP="00BA4085">
            <w:pPr>
              <w:rPr>
                <w:b/>
              </w:rPr>
            </w:pPr>
            <w:r w:rsidRPr="00716503">
              <w:rPr>
                <w:b/>
                <w:highlight w:val="green"/>
              </w:rPr>
              <w:t>47,3%</w:t>
            </w:r>
          </w:p>
        </w:tc>
        <w:tc>
          <w:tcPr>
            <w:tcW w:w="1307" w:type="dxa"/>
          </w:tcPr>
          <w:p w:rsidR="00273CA0" w:rsidRDefault="00474200" w:rsidP="00BA4085">
            <w:pPr>
              <w:rPr>
                <w:b/>
              </w:rPr>
            </w:pPr>
            <w:r w:rsidRPr="00716503">
              <w:rPr>
                <w:b/>
                <w:highlight w:val="red"/>
              </w:rPr>
              <w:t>59,2%</w:t>
            </w:r>
          </w:p>
        </w:tc>
        <w:tc>
          <w:tcPr>
            <w:tcW w:w="1557" w:type="dxa"/>
          </w:tcPr>
          <w:p w:rsidR="00273CA0" w:rsidRPr="00A47F2C" w:rsidRDefault="00A47F2C" w:rsidP="00BA4085">
            <w:pPr>
              <w:rPr>
                <w:b/>
                <w:highlight w:val="red"/>
              </w:rPr>
            </w:pPr>
            <w:r w:rsidRPr="00716503">
              <w:rPr>
                <w:b/>
              </w:rPr>
              <w:t>51%</w:t>
            </w:r>
          </w:p>
        </w:tc>
      </w:tr>
      <w:tr w:rsidR="00273CA0" w:rsidTr="00273CA0">
        <w:tc>
          <w:tcPr>
            <w:tcW w:w="1449" w:type="dxa"/>
          </w:tcPr>
          <w:p w:rsidR="00273CA0" w:rsidRDefault="00273CA0" w:rsidP="00BA4085">
            <w:pPr>
              <w:rPr>
                <w:b/>
              </w:rPr>
            </w:pPr>
          </w:p>
        </w:tc>
        <w:tc>
          <w:tcPr>
            <w:tcW w:w="1352" w:type="dxa"/>
          </w:tcPr>
          <w:p w:rsidR="00273CA0" w:rsidRDefault="00273CA0" w:rsidP="00BA4085">
            <w:pPr>
              <w:rPr>
                <w:b/>
              </w:rPr>
            </w:pPr>
          </w:p>
        </w:tc>
        <w:tc>
          <w:tcPr>
            <w:tcW w:w="1307" w:type="dxa"/>
          </w:tcPr>
          <w:p w:rsidR="00273CA0" w:rsidRDefault="00273CA0" w:rsidP="00BA4085">
            <w:pPr>
              <w:rPr>
                <w:b/>
              </w:rPr>
            </w:pPr>
          </w:p>
        </w:tc>
        <w:tc>
          <w:tcPr>
            <w:tcW w:w="1557" w:type="dxa"/>
          </w:tcPr>
          <w:p w:rsidR="00273CA0" w:rsidRDefault="00273CA0" w:rsidP="00BA4085">
            <w:pPr>
              <w:rPr>
                <w:b/>
              </w:rPr>
            </w:pPr>
          </w:p>
        </w:tc>
      </w:tr>
    </w:tbl>
    <w:p w:rsidR="00716503" w:rsidRPr="00716503" w:rsidRDefault="00892123">
      <w:pPr>
        <w:rPr>
          <w:color w:val="FF0000"/>
        </w:rPr>
      </w:pPr>
      <w:r>
        <w:br/>
      </w:r>
      <w:r w:rsidR="00716503" w:rsidRPr="00716503">
        <w:t>De</w:t>
      </w:r>
      <w:r w:rsidR="00716503">
        <w:rPr>
          <w:b/>
        </w:rPr>
        <w:t xml:space="preserve"> </w:t>
      </w:r>
      <w:r w:rsidR="00716503">
        <w:rPr>
          <w:b/>
          <w:color w:val="FF0000"/>
        </w:rPr>
        <w:t xml:space="preserve">&lt;Voorbeeldschool&gt; </w:t>
      </w:r>
      <w:r w:rsidR="00716503">
        <w:t>heeft de signaleringswaarden voor 1F en 2F/1S ruim gehaald, maar het behaalde percentage 2F / 1S ligt wel onder het landelijk gemiddelde van scholen met dezelfde schoolweging.</w:t>
      </w:r>
    </w:p>
    <w:p w:rsidR="00892123" w:rsidRDefault="00892123">
      <w:pPr>
        <w:rPr>
          <w:b/>
        </w:rPr>
      </w:pPr>
    </w:p>
    <w:p w:rsidR="0008429D" w:rsidRDefault="00273CA0">
      <w:pPr>
        <w:rPr>
          <w:b/>
        </w:rPr>
      </w:pPr>
      <w:bookmarkStart w:id="0" w:name="_GoBack"/>
      <w:bookmarkEnd w:id="0"/>
      <w:r w:rsidRPr="00273CA0">
        <w:rPr>
          <w:b/>
        </w:rPr>
        <w:lastRenderedPageBreak/>
        <w:t>Bijlage</w:t>
      </w:r>
      <w:r>
        <w:rPr>
          <w:b/>
        </w:rPr>
        <w:t>:</w:t>
      </w:r>
      <w:r w:rsidRPr="00273CA0">
        <w:rPr>
          <w:b/>
        </w:rPr>
        <w:t xml:space="preserve"> </w:t>
      </w:r>
      <w:r>
        <w:rPr>
          <w:b/>
        </w:rPr>
        <w:t>overzicht van de schoolweging, de signaleringswaarde en het landelijk gemiddelde</w:t>
      </w:r>
    </w:p>
    <w:tbl>
      <w:tblPr>
        <w:tblStyle w:val="Tabelraster"/>
        <w:tblW w:w="0" w:type="auto"/>
        <w:tblLook w:val="04A0" w:firstRow="1" w:lastRow="0" w:firstColumn="1" w:lastColumn="0" w:noHBand="0" w:noVBand="1"/>
      </w:tblPr>
      <w:tblGrid>
        <w:gridCol w:w="2265"/>
        <w:gridCol w:w="2265"/>
        <w:gridCol w:w="2266"/>
        <w:gridCol w:w="2266"/>
      </w:tblGrid>
      <w:tr w:rsidR="00273CA0" w:rsidTr="00273CA0">
        <w:tc>
          <w:tcPr>
            <w:tcW w:w="2265" w:type="dxa"/>
          </w:tcPr>
          <w:p w:rsidR="00273CA0" w:rsidRDefault="00273CA0">
            <w:pPr>
              <w:rPr>
                <w:b/>
              </w:rPr>
            </w:pPr>
            <w:r>
              <w:rPr>
                <w:b/>
              </w:rPr>
              <w:t>Schoolweging</w:t>
            </w:r>
          </w:p>
        </w:tc>
        <w:tc>
          <w:tcPr>
            <w:tcW w:w="2265" w:type="dxa"/>
          </w:tcPr>
          <w:p w:rsidR="00273CA0" w:rsidRDefault="00273CA0" w:rsidP="00273CA0">
            <w:pPr>
              <w:rPr>
                <w:b/>
              </w:rPr>
            </w:pPr>
            <w:r>
              <w:rPr>
                <w:b/>
              </w:rPr>
              <w:t>Signaleringswaarde % lln. ≥ 1F</w:t>
            </w:r>
          </w:p>
        </w:tc>
        <w:tc>
          <w:tcPr>
            <w:tcW w:w="2266" w:type="dxa"/>
          </w:tcPr>
          <w:p w:rsidR="00273CA0" w:rsidRDefault="00273CA0" w:rsidP="00E640AA">
            <w:pPr>
              <w:rPr>
                <w:b/>
              </w:rPr>
            </w:pPr>
            <w:r>
              <w:rPr>
                <w:b/>
              </w:rPr>
              <w:t xml:space="preserve">Signaleringswaarde % lln. ≥ </w:t>
            </w:r>
            <w:r w:rsidR="00E640AA">
              <w:rPr>
                <w:b/>
              </w:rPr>
              <w:t>2</w:t>
            </w:r>
            <w:r>
              <w:rPr>
                <w:b/>
              </w:rPr>
              <w:t>F</w:t>
            </w:r>
            <w:r w:rsidR="00E640AA">
              <w:rPr>
                <w:b/>
              </w:rPr>
              <w:t xml:space="preserve"> en 1S</w:t>
            </w:r>
          </w:p>
        </w:tc>
        <w:tc>
          <w:tcPr>
            <w:tcW w:w="2266" w:type="dxa"/>
          </w:tcPr>
          <w:p w:rsidR="00273CA0" w:rsidRDefault="00E640AA">
            <w:pPr>
              <w:rPr>
                <w:b/>
              </w:rPr>
            </w:pPr>
            <w:r>
              <w:rPr>
                <w:b/>
              </w:rPr>
              <w:t>Landelijk gemiddelde % lln. ≥ 2F en 1S</w:t>
            </w:r>
          </w:p>
        </w:tc>
      </w:tr>
      <w:tr w:rsidR="00273CA0" w:rsidRPr="00273CA0" w:rsidTr="00273CA0">
        <w:tc>
          <w:tcPr>
            <w:tcW w:w="2265" w:type="dxa"/>
          </w:tcPr>
          <w:p w:rsidR="00273CA0" w:rsidRPr="00273CA0" w:rsidRDefault="00E640AA" w:rsidP="00E640AA">
            <w:pPr>
              <w:jc w:val="center"/>
            </w:pPr>
            <w:r>
              <w:t>20 – 21</w:t>
            </w:r>
          </w:p>
        </w:tc>
        <w:tc>
          <w:tcPr>
            <w:tcW w:w="2265" w:type="dxa"/>
          </w:tcPr>
          <w:p w:rsidR="00273CA0" w:rsidRPr="00273CA0" w:rsidRDefault="00E640AA" w:rsidP="00E640AA">
            <w:pPr>
              <w:jc w:val="center"/>
            </w:pPr>
            <w:r>
              <w:t>85</w:t>
            </w:r>
          </w:p>
        </w:tc>
        <w:tc>
          <w:tcPr>
            <w:tcW w:w="2266" w:type="dxa"/>
          </w:tcPr>
          <w:p w:rsidR="00273CA0" w:rsidRPr="00273CA0" w:rsidRDefault="00E640AA" w:rsidP="00E640AA">
            <w:pPr>
              <w:jc w:val="center"/>
            </w:pPr>
            <w:r>
              <w:t>66,8</w:t>
            </w:r>
          </w:p>
        </w:tc>
        <w:tc>
          <w:tcPr>
            <w:tcW w:w="2266" w:type="dxa"/>
          </w:tcPr>
          <w:p w:rsidR="00273CA0" w:rsidRPr="00273CA0" w:rsidRDefault="00E640AA" w:rsidP="00E640AA">
            <w:pPr>
              <w:jc w:val="center"/>
            </w:pPr>
            <w:r>
              <w:t>78</w:t>
            </w:r>
          </w:p>
        </w:tc>
      </w:tr>
      <w:tr w:rsidR="00273CA0" w:rsidRPr="00273CA0" w:rsidTr="00273CA0">
        <w:tc>
          <w:tcPr>
            <w:tcW w:w="2265" w:type="dxa"/>
          </w:tcPr>
          <w:p w:rsidR="00273CA0" w:rsidRPr="00273CA0" w:rsidRDefault="00E640AA" w:rsidP="00E640AA">
            <w:pPr>
              <w:jc w:val="center"/>
            </w:pPr>
            <w:r>
              <w:t>21 – 22</w:t>
            </w:r>
          </w:p>
        </w:tc>
        <w:tc>
          <w:tcPr>
            <w:tcW w:w="2265" w:type="dxa"/>
          </w:tcPr>
          <w:p w:rsidR="00273CA0" w:rsidRPr="00273CA0" w:rsidRDefault="00E640AA" w:rsidP="00E640AA">
            <w:pPr>
              <w:jc w:val="center"/>
            </w:pPr>
            <w:r>
              <w:t>85</w:t>
            </w:r>
          </w:p>
        </w:tc>
        <w:tc>
          <w:tcPr>
            <w:tcW w:w="2266" w:type="dxa"/>
          </w:tcPr>
          <w:p w:rsidR="00273CA0" w:rsidRPr="00273CA0" w:rsidRDefault="00E640AA" w:rsidP="00E640AA">
            <w:pPr>
              <w:jc w:val="center"/>
            </w:pPr>
            <w:r>
              <w:t>63,9</w:t>
            </w:r>
          </w:p>
        </w:tc>
        <w:tc>
          <w:tcPr>
            <w:tcW w:w="2266" w:type="dxa"/>
          </w:tcPr>
          <w:p w:rsidR="00273CA0" w:rsidRPr="00273CA0" w:rsidRDefault="00E640AA" w:rsidP="00E640AA">
            <w:pPr>
              <w:jc w:val="center"/>
            </w:pPr>
            <w:r>
              <w:t>75,1</w:t>
            </w:r>
          </w:p>
        </w:tc>
      </w:tr>
      <w:tr w:rsidR="00273CA0" w:rsidRPr="00273CA0" w:rsidTr="00273CA0">
        <w:tc>
          <w:tcPr>
            <w:tcW w:w="2265" w:type="dxa"/>
          </w:tcPr>
          <w:p w:rsidR="00273CA0" w:rsidRPr="00273CA0" w:rsidRDefault="00E640AA" w:rsidP="00E640AA">
            <w:pPr>
              <w:jc w:val="center"/>
            </w:pPr>
            <w:r>
              <w:t>22 – 23</w:t>
            </w:r>
          </w:p>
        </w:tc>
        <w:tc>
          <w:tcPr>
            <w:tcW w:w="2265" w:type="dxa"/>
          </w:tcPr>
          <w:p w:rsidR="00273CA0" w:rsidRPr="00273CA0" w:rsidRDefault="00E640AA" w:rsidP="00E640AA">
            <w:pPr>
              <w:jc w:val="center"/>
            </w:pPr>
            <w:r>
              <w:t>85</w:t>
            </w:r>
          </w:p>
        </w:tc>
        <w:tc>
          <w:tcPr>
            <w:tcW w:w="2266" w:type="dxa"/>
          </w:tcPr>
          <w:p w:rsidR="00273CA0" w:rsidRPr="00273CA0" w:rsidRDefault="00E640AA" w:rsidP="00E640AA">
            <w:pPr>
              <w:jc w:val="center"/>
            </w:pPr>
            <w:r>
              <w:t>61,1</w:t>
            </w:r>
          </w:p>
        </w:tc>
        <w:tc>
          <w:tcPr>
            <w:tcW w:w="2266" w:type="dxa"/>
          </w:tcPr>
          <w:p w:rsidR="00273CA0" w:rsidRPr="00273CA0" w:rsidRDefault="00E640AA" w:rsidP="00E640AA">
            <w:pPr>
              <w:jc w:val="center"/>
            </w:pPr>
            <w:r>
              <w:t>70,7</w:t>
            </w:r>
          </w:p>
        </w:tc>
      </w:tr>
      <w:tr w:rsidR="00E640AA" w:rsidRPr="00273CA0" w:rsidTr="00273CA0">
        <w:tc>
          <w:tcPr>
            <w:tcW w:w="2265" w:type="dxa"/>
          </w:tcPr>
          <w:p w:rsidR="00E640AA" w:rsidRPr="00273CA0" w:rsidRDefault="00E640AA" w:rsidP="00E640AA">
            <w:pPr>
              <w:jc w:val="center"/>
            </w:pPr>
            <w:r>
              <w:t>23 – 24</w:t>
            </w:r>
          </w:p>
        </w:tc>
        <w:tc>
          <w:tcPr>
            <w:tcW w:w="2265" w:type="dxa"/>
          </w:tcPr>
          <w:p w:rsidR="00E640AA" w:rsidRDefault="00E640AA" w:rsidP="00E640AA">
            <w:pPr>
              <w:jc w:val="center"/>
            </w:pPr>
            <w:r w:rsidRPr="00062512">
              <w:t>85</w:t>
            </w:r>
          </w:p>
        </w:tc>
        <w:tc>
          <w:tcPr>
            <w:tcW w:w="2266" w:type="dxa"/>
          </w:tcPr>
          <w:p w:rsidR="00E640AA" w:rsidRPr="00273CA0" w:rsidRDefault="00E640AA" w:rsidP="00E640AA">
            <w:pPr>
              <w:jc w:val="center"/>
            </w:pPr>
            <w:r>
              <w:t>58,6</w:t>
            </w:r>
          </w:p>
        </w:tc>
        <w:tc>
          <w:tcPr>
            <w:tcW w:w="2266" w:type="dxa"/>
          </w:tcPr>
          <w:p w:rsidR="00E640AA" w:rsidRPr="00273CA0" w:rsidRDefault="00E640AA" w:rsidP="00E640AA">
            <w:pPr>
              <w:jc w:val="center"/>
            </w:pPr>
            <w:r>
              <w:t>68,4</w:t>
            </w:r>
          </w:p>
        </w:tc>
      </w:tr>
      <w:tr w:rsidR="00E640AA" w:rsidRPr="00273CA0" w:rsidTr="00273CA0">
        <w:tc>
          <w:tcPr>
            <w:tcW w:w="2265" w:type="dxa"/>
          </w:tcPr>
          <w:p w:rsidR="00E640AA" w:rsidRPr="00273CA0" w:rsidRDefault="00E640AA" w:rsidP="00E640AA">
            <w:pPr>
              <w:jc w:val="center"/>
            </w:pPr>
            <w:r>
              <w:t>24 – 25</w:t>
            </w:r>
          </w:p>
        </w:tc>
        <w:tc>
          <w:tcPr>
            <w:tcW w:w="2265" w:type="dxa"/>
          </w:tcPr>
          <w:p w:rsidR="00E640AA" w:rsidRDefault="00E640AA" w:rsidP="00E640AA">
            <w:pPr>
              <w:jc w:val="center"/>
            </w:pPr>
            <w:r w:rsidRPr="00062512">
              <w:t>85</w:t>
            </w:r>
          </w:p>
        </w:tc>
        <w:tc>
          <w:tcPr>
            <w:tcW w:w="2266" w:type="dxa"/>
          </w:tcPr>
          <w:p w:rsidR="00E640AA" w:rsidRPr="00273CA0" w:rsidRDefault="00E640AA" w:rsidP="00E640AA">
            <w:pPr>
              <w:jc w:val="center"/>
            </w:pPr>
            <w:r>
              <w:t>56,6</w:t>
            </w:r>
          </w:p>
        </w:tc>
        <w:tc>
          <w:tcPr>
            <w:tcW w:w="2266" w:type="dxa"/>
          </w:tcPr>
          <w:p w:rsidR="00E640AA" w:rsidRPr="00273CA0" w:rsidRDefault="00E640AA" w:rsidP="00E640AA">
            <w:pPr>
              <w:jc w:val="center"/>
            </w:pPr>
            <w:r>
              <w:t>66,4</w:t>
            </w:r>
          </w:p>
        </w:tc>
      </w:tr>
      <w:tr w:rsidR="00E640AA" w:rsidRPr="00273CA0" w:rsidTr="00273CA0">
        <w:tc>
          <w:tcPr>
            <w:tcW w:w="2265" w:type="dxa"/>
          </w:tcPr>
          <w:p w:rsidR="00E640AA" w:rsidRPr="00273CA0" w:rsidRDefault="00E640AA" w:rsidP="00E640AA">
            <w:pPr>
              <w:jc w:val="center"/>
            </w:pPr>
            <w:r>
              <w:t>25 – 26</w:t>
            </w:r>
          </w:p>
        </w:tc>
        <w:tc>
          <w:tcPr>
            <w:tcW w:w="2265" w:type="dxa"/>
          </w:tcPr>
          <w:p w:rsidR="00E640AA" w:rsidRDefault="00E640AA" w:rsidP="00E640AA">
            <w:pPr>
              <w:jc w:val="center"/>
            </w:pPr>
            <w:r w:rsidRPr="00062512">
              <w:t>85</w:t>
            </w:r>
          </w:p>
        </w:tc>
        <w:tc>
          <w:tcPr>
            <w:tcW w:w="2266" w:type="dxa"/>
          </w:tcPr>
          <w:p w:rsidR="00E640AA" w:rsidRPr="00273CA0" w:rsidRDefault="00E640AA" w:rsidP="00E640AA">
            <w:pPr>
              <w:jc w:val="center"/>
            </w:pPr>
            <w:r>
              <w:t>55,1</w:t>
            </w:r>
          </w:p>
        </w:tc>
        <w:tc>
          <w:tcPr>
            <w:tcW w:w="2266" w:type="dxa"/>
          </w:tcPr>
          <w:p w:rsidR="00E640AA" w:rsidRPr="00273CA0" w:rsidRDefault="00E640AA" w:rsidP="00E640AA">
            <w:pPr>
              <w:jc w:val="center"/>
            </w:pPr>
            <w:r>
              <w:t>64,9</w:t>
            </w:r>
          </w:p>
        </w:tc>
      </w:tr>
      <w:tr w:rsidR="00E640AA" w:rsidRPr="00273CA0" w:rsidTr="00273CA0">
        <w:tc>
          <w:tcPr>
            <w:tcW w:w="2265" w:type="dxa"/>
          </w:tcPr>
          <w:p w:rsidR="00E640AA" w:rsidRPr="00273CA0" w:rsidRDefault="00E640AA" w:rsidP="00E640AA">
            <w:pPr>
              <w:jc w:val="center"/>
            </w:pPr>
            <w:r>
              <w:t>26 – 27</w:t>
            </w:r>
          </w:p>
        </w:tc>
        <w:tc>
          <w:tcPr>
            <w:tcW w:w="2265" w:type="dxa"/>
          </w:tcPr>
          <w:p w:rsidR="00E640AA" w:rsidRDefault="00E640AA" w:rsidP="00E640AA">
            <w:pPr>
              <w:jc w:val="center"/>
            </w:pPr>
            <w:r w:rsidRPr="00062512">
              <w:t>85</w:t>
            </w:r>
          </w:p>
        </w:tc>
        <w:tc>
          <w:tcPr>
            <w:tcW w:w="2266" w:type="dxa"/>
          </w:tcPr>
          <w:p w:rsidR="00E640AA" w:rsidRPr="00273CA0" w:rsidRDefault="00E640AA" w:rsidP="00E640AA">
            <w:pPr>
              <w:jc w:val="center"/>
            </w:pPr>
            <w:r>
              <w:t>53,6</w:t>
            </w:r>
          </w:p>
        </w:tc>
        <w:tc>
          <w:tcPr>
            <w:tcW w:w="2266" w:type="dxa"/>
          </w:tcPr>
          <w:p w:rsidR="00E640AA" w:rsidRPr="00273CA0" w:rsidRDefault="00E640AA" w:rsidP="00E640AA">
            <w:pPr>
              <w:jc w:val="center"/>
            </w:pPr>
            <w:r>
              <w:t>64,1</w:t>
            </w:r>
          </w:p>
        </w:tc>
      </w:tr>
      <w:tr w:rsidR="00E640AA" w:rsidRPr="00273CA0" w:rsidTr="00273CA0">
        <w:tc>
          <w:tcPr>
            <w:tcW w:w="2265" w:type="dxa"/>
          </w:tcPr>
          <w:p w:rsidR="00E640AA" w:rsidRDefault="00E640AA" w:rsidP="00E640AA">
            <w:pPr>
              <w:jc w:val="center"/>
            </w:pPr>
            <w:r>
              <w:t>27 – 28</w:t>
            </w:r>
          </w:p>
        </w:tc>
        <w:tc>
          <w:tcPr>
            <w:tcW w:w="2265" w:type="dxa"/>
          </w:tcPr>
          <w:p w:rsidR="00E640AA" w:rsidRDefault="00E640AA" w:rsidP="00E640AA">
            <w:pPr>
              <w:jc w:val="center"/>
            </w:pPr>
            <w:r w:rsidRPr="00062512">
              <w:t>85</w:t>
            </w:r>
          </w:p>
        </w:tc>
        <w:tc>
          <w:tcPr>
            <w:tcW w:w="2266" w:type="dxa"/>
          </w:tcPr>
          <w:p w:rsidR="00E640AA" w:rsidRDefault="00E640AA" w:rsidP="00E640AA">
            <w:pPr>
              <w:jc w:val="center"/>
            </w:pPr>
            <w:r>
              <w:t>52,1</w:t>
            </w:r>
          </w:p>
        </w:tc>
        <w:tc>
          <w:tcPr>
            <w:tcW w:w="2266" w:type="dxa"/>
          </w:tcPr>
          <w:p w:rsidR="00E640AA" w:rsidRDefault="00E640AA" w:rsidP="00E640AA">
            <w:pPr>
              <w:jc w:val="center"/>
            </w:pPr>
            <w:r>
              <w:t>62,8</w:t>
            </w:r>
          </w:p>
        </w:tc>
      </w:tr>
      <w:tr w:rsidR="00E640AA" w:rsidRPr="00273CA0" w:rsidTr="00273CA0">
        <w:tc>
          <w:tcPr>
            <w:tcW w:w="2265" w:type="dxa"/>
          </w:tcPr>
          <w:p w:rsidR="00E640AA" w:rsidRDefault="00E640AA" w:rsidP="00E640AA">
            <w:pPr>
              <w:jc w:val="center"/>
            </w:pPr>
            <w:r>
              <w:t>28 – 29</w:t>
            </w:r>
          </w:p>
        </w:tc>
        <w:tc>
          <w:tcPr>
            <w:tcW w:w="2265" w:type="dxa"/>
          </w:tcPr>
          <w:p w:rsidR="00E640AA" w:rsidRDefault="00E640AA" w:rsidP="00E640AA">
            <w:pPr>
              <w:jc w:val="center"/>
            </w:pPr>
            <w:r w:rsidRPr="00062512">
              <w:t>85</w:t>
            </w:r>
          </w:p>
        </w:tc>
        <w:tc>
          <w:tcPr>
            <w:tcW w:w="2266" w:type="dxa"/>
          </w:tcPr>
          <w:p w:rsidR="00E640AA" w:rsidRDefault="00E640AA" w:rsidP="00E640AA">
            <w:pPr>
              <w:jc w:val="center"/>
            </w:pPr>
            <w:r>
              <w:t>50,5</w:t>
            </w:r>
          </w:p>
        </w:tc>
        <w:tc>
          <w:tcPr>
            <w:tcW w:w="2266" w:type="dxa"/>
          </w:tcPr>
          <w:p w:rsidR="00E640AA" w:rsidRDefault="00E640AA" w:rsidP="00E640AA">
            <w:pPr>
              <w:jc w:val="center"/>
            </w:pPr>
            <w:r>
              <w:t>62</w:t>
            </w:r>
          </w:p>
        </w:tc>
      </w:tr>
      <w:tr w:rsidR="00E640AA" w:rsidRPr="00273CA0" w:rsidTr="00273CA0">
        <w:tc>
          <w:tcPr>
            <w:tcW w:w="2265" w:type="dxa"/>
          </w:tcPr>
          <w:p w:rsidR="00E640AA" w:rsidRDefault="00E640AA" w:rsidP="00E640AA">
            <w:pPr>
              <w:jc w:val="center"/>
            </w:pPr>
            <w:r>
              <w:t>29 – 30</w:t>
            </w:r>
          </w:p>
        </w:tc>
        <w:tc>
          <w:tcPr>
            <w:tcW w:w="2265" w:type="dxa"/>
          </w:tcPr>
          <w:p w:rsidR="00E640AA" w:rsidRDefault="00E640AA" w:rsidP="00E640AA">
            <w:pPr>
              <w:jc w:val="center"/>
            </w:pPr>
            <w:r w:rsidRPr="00062512">
              <w:t>85</w:t>
            </w:r>
          </w:p>
        </w:tc>
        <w:tc>
          <w:tcPr>
            <w:tcW w:w="2266" w:type="dxa"/>
          </w:tcPr>
          <w:p w:rsidR="00E640AA" w:rsidRDefault="00E640AA" w:rsidP="00E640AA">
            <w:pPr>
              <w:jc w:val="center"/>
            </w:pPr>
            <w:r>
              <w:t>49</w:t>
            </w:r>
          </w:p>
        </w:tc>
        <w:tc>
          <w:tcPr>
            <w:tcW w:w="2266" w:type="dxa"/>
          </w:tcPr>
          <w:p w:rsidR="00E640AA" w:rsidRDefault="00E640AA" w:rsidP="00E640AA">
            <w:pPr>
              <w:jc w:val="center"/>
            </w:pPr>
            <w:r>
              <w:t>60,3</w:t>
            </w:r>
          </w:p>
        </w:tc>
      </w:tr>
      <w:tr w:rsidR="00E640AA" w:rsidRPr="00273CA0" w:rsidTr="00273CA0">
        <w:tc>
          <w:tcPr>
            <w:tcW w:w="2265" w:type="dxa"/>
          </w:tcPr>
          <w:p w:rsidR="00E640AA" w:rsidRDefault="00E640AA" w:rsidP="00E640AA">
            <w:pPr>
              <w:jc w:val="center"/>
            </w:pPr>
            <w:r>
              <w:t>30 – 31</w:t>
            </w:r>
          </w:p>
        </w:tc>
        <w:tc>
          <w:tcPr>
            <w:tcW w:w="2265" w:type="dxa"/>
          </w:tcPr>
          <w:p w:rsidR="00E640AA" w:rsidRDefault="00E640AA" w:rsidP="00E640AA">
            <w:pPr>
              <w:jc w:val="center"/>
            </w:pPr>
            <w:r w:rsidRPr="00062512">
              <w:t>85</w:t>
            </w:r>
          </w:p>
        </w:tc>
        <w:tc>
          <w:tcPr>
            <w:tcW w:w="2266" w:type="dxa"/>
          </w:tcPr>
          <w:p w:rsidR="00E640AA" w:rsidRDefault="00E640AA" w:rsidP="00E640AA">
            <w:pPr>
              <w:jc w:val="center"/>
            </w:pPr>
            <w:r>
              <w:t>47,3</w:t>
            </w:r>
          </w:p>
        </w:tc>
        <w:tc>
          <w:tcPr>
            <w:tcW w:w="2266" w:type="dxa"/>
          </w:tcPr>
          <w:p w:rsidR="00E640AA" w:rsidRDefault="00E640AA" w:rsidP="00E640AA">
            <w:pPr>
              <w:jc w:val="center"/>
            </w:pPr>
            <w:r>
              <w:t>59,2</w:t>
            </w:r>
          </w:p>
        </w:tc>
      </w:tr>
      <w:tr w:rsidR="00E640AA" w:rsidRPr="00273CA0" w:rsidTr="00273CA0">
        <w:tc>
          <w:tcPr>
            <w:tcW w:w="2265" w:type="dxa"/>
          </w:tcPr>
          <w:p w:rsidR="00E640AA" w:rsidRDefault="00E640AA" w:rsidP="00E640AA">
            <w:pPr>
              <w:jc w:val="center"/>
            </w:pPr>
            <w:r>
              <w:t>31 – 32</w:t>
            </w:r>
          </w:p>
        </w:tc>
        <w:tc>
          <w:tcPr>
            <w:tcW w:w="2265" w:type="dxa"/>
          </w:tcPr>
          <w:p w:rsidR="00E640AA" w:rsidRDefault="00E640AA" w:rsidP="00E640AA">
            <w:pPr>
              <w:jc w:val="center"/>
            </w:pPr>
            <w:r w:rsidRPr="00062512">
              <w:t>85</w:t>
            </w:r>
          </w:p>
        </w:tc>
        <w:tc>
          <w:tcPr>
            <w:tcW w:w="2266" w:type="dxa"/>
          </w:tcPr>
          <w:p w:rsidR="00E640AA" w:rsidRDefault="00E640AA" w:rsidP="00E640AA">
            <w:pPr>
              <w:jc w:val="center"/>
            </w:pPr>
            <w:r>
              <w:t>45,5</w:t>
            </w:r>
          </w:p>
        </w:tc>
        <w:tc>
          <w:tcPr>
            <w:tcW w:w="2266" w:type="dxa"/>
          </w:tcPr>
          <w:p w:rsidR="00E640AA" w:rsidRDefault="00E640AA" w:rsidP="00E640AA">
            <w:pPr>
              <w:jc w:val="center"/>
            </w:pPr>
            <w:r>
              <w:t>57,1</w:t>
            </w:r>
          </w:p>
        </w:tc>
      </w:tr>
      <w:tr w:rsidR="00E640AA" w:rsidRPr="00273CA0" w:rsidTr="00273CA0">
        <w:tc>
          <w:tcPr>
            <w:tcW w:w="2265" w:type="dxa"/>
          </w:tcPr>
          <w:p w:rsidR="00E640AA" w:rsidRDefault="00E640AA" w:rsidP="00E640AA">
            <w:pPr>
              <w:jc w:val="center"/>
            </w:pPr>
            <w:r>
              <w:t>32 – 33</w:t>
            </w:r>
          </w:p>
        </w:tc>
        <w:tc>
          <w:tcPr>
            <w:tcW w:w="2265" w:type="dxa"/>
          </w:tcPr>
          <w:p w:rsidR="00E640AA" w:rsidRDefault="00E640AA" w:rsidP="00E640AA">
            <w:pPr>
              <w:jc w:val="center"/>
            </w:pPr>
            <w:r w:rsidRPr="00062512">
              <w:t>85</w:t>
            </w:r>
          </w:p>
        </w:tc>
        <w:tc>
          <w:tcPr>
            <w:tcW w:w="2266" w:type="dxa"/>
          </w:tcPr>
          <w:p w:rsidR="00E640AA" w:rsidRDefault="00E640AA" w:rsidP="00E640AA">
            <w:pPr>
              <w:jc w:val="center"/>
            </w:pPr>
            <w:r>
              <w:t>43,5</w:t>
            </w:r>
          </w:p>
        </w:tc>
        <w:tc>
          <w:tcPr>
            <w:tcW w:w="2266" w:type="dxa"/>
          </w:tcPr>
          <w:p w:rsidR="00E640AA" w:rsidRDefault="00E640AA" w:rsidP="00E640AA">
            <w:pPr>
              <w:jc w:val="center"/>
            </w:pPr>
            <w:r>
              <w:t>55,5</w:t>
            </w:r>
          </w:p>
        </w:tc>
      </w:tr>
      <w:tr w:rsidR="00E640AA" w:rsidRPr="00273CA0" w:rsidTr="00273CA0">
        <w:tc>
          <w:tcPr>
            <w:tcW w:w="2265" w:type="dxa"/>
          </w:tcPr>
          <w:p w:rsidR="00E640AA" w:rsidRDefault="00E640AA" w:rsidP="00E640AA">
            <w:pPr>
              <w:jc w:val="center"/>
            </w:pPr>
            <w:r>
              <w:t>33 – 34</w:t>
            </w:r>
          </w:p>
        </w:tc>
        <w:tc>
          <w:tcPr>
            <w:tcW w:w="2265" w:type="dxa"/>
          </w:tcPr>
          <w:p w:rsidR="00E640AA" w:rsidRDefault="00E640AA" w:rsidP="00E640AA">
            <w:pPr>
              <w:jc w:val="center"/>
            </w:pPr>
            <w:r w:rsidRPr="00062512">
              <w:t>85</w:t>
            </w:r>
          </w:p>
        </w:tc>
        <w:tc>
          <w:tcPr>
            <w:tcW w:w="2266" w:type="dxa"/>
          </w:tcPr>
          <w:p w:rsidR="00E640AA" w:rsidRDefault="00E640AA" w:rsidP="00E640AA">
            <w:pPr>
              <w:jc w:val="center"/>
            </w:pPr>
            <w:r>
              <w:t>41,5</w:t>
            </w:r>
          </w:p>
        </w:tc>
        <w:tc>
          <w:tcPr>
            <w:tcW w:w="2266" w:type="dxa"/>
          </w:tcPr>
          <w:p w:rsidR="00E640AA" w:rsidRDefault="00E640AA" w:rsidP="00E640AA">
            <w:pPr>
              <w:jc w:val="center"/>
            </w:pPr>
            <w:r>
              <w:t>53,7</w:t>
            </w:r>
          </w:p>
        </w:tc>
      </w:tr>
      <w:tr w:rsidR="00E640AA" w:rsidRPr="00273CA0" w:rsidTr="00273CA0">
        <w:tc>
          <w:tcPr>
            <w:tcW w:w="2265" w:type="dxa"/>
          </w:tcPr>
          <w:p w:rsidR="00E640AA" w:rsidRDefault="00E640AA" w:rsidP="00E640AA">
            <w:pPr>
              <w:jc w:val="center"/>
            </w:pPr>
            <w:r>
              <w:t>34 – 35</w:t>
            </w:r>
          </w:p>
        </w:tc>
        <w:tc>
          <w:tcPr>
            <w:tcW w:w="2265" w:type="dxa"/>
          </w:tcPr>
          <w:p w:rsidR="00E640AA" w:rsidRDefault="00E640AA" w:rsidP="00E640AA">
            <w:pPr>
              <w:jc w:val="center"/>
            </w:pPr>
            <w:r w:rsidRPr="00D108C6">
              <w:t>85</w:t>
            </w:r>
          </w:p>
        </w:tc>
        <w:tc>
          <w:tcPr>
            <w:tcW w:w="2266" w:type="dxa"/>
          </w:tcPr>
          <w:p w:rsidR="00E640AA" w:rsidRDefault="00E640AA" w:rsidP="00E640AA">
            <w:pPr>
              <w:jc w:val="center"/>
            </w:pPr>
            <w:r>
              <w:t>39,5</w:t>
            </w:r>
          </w:p>
        </w:tc>
        <w:tc>
          <w:tcPr>
            <w:tcW w:w="2266" w:type="dxa"/>
          </w:tcPr>
          <w:p w:rsidR="00E640AA" w:rsidRDefault="00E640AA" w:rsidP="00E640AA">
            <w:pPr>
              <w:jc w:val="center"/>
            </w:pPr>
            <w:r>
              <w:t>50,4</w:t>
            </w:r>
          </w:p>
        </w:tc>
      </w:tr>
      <w:tr w:rsidR="00E640AA" w:rsidRPr="00273CA0" w:rsidTr="00273CA0">
        <w:tc>
          <w:tcPr>
            <w:tcW w:w="2265" w:type="dxa"/>
          </w:tcPr>
          <w:p w:rsidR="00E640AA" w:rsidRDefault="00E640AA" w:rsidP="00E640AA">
            <w:pPr>
              <w:jc w:val="center"/>
            </w:pPr>
            <w:r>
              <w:t>35 – 36</w:t>
            </w:r>
          </w:p>
        </w:tc>
        <w:tc>
          <w:tcPr>
            <w:tcW w:w="2265" w:type="dxa"/>
          </w:tcPr>
          <w:p w:rsidR="00E640AA" w:rsidRDefault="00E640AA" w:rsidP="00E640AA">
            <w:pPr>
              <w:jc w:val="center"/>
            </w:pPr>
            <w:r w:rsidRPr="00D108C6">
              <w:t>85</w:t>
            </w:r>
          </w:p>
        </w:tc>
        <w:tc>
          <w:tcPr>
            <w:tcW w:w="2266" w:type="dxa"/>
          </w:tcPr>
          <w:p w:rsidR="00E640AA" w:rsidRDefault="00E640AA" w:rsidP="00E640AA">
            <w:pPr>
              <w:jc w:val="center"/>
            </w:pPr>
            <w:r>
              <w:t>37,5</w:t>
            </w:r>
          </w:p>
        </w:tc>
        <w:tc>
          <w:tcPr>
            <w:tcW w:w="2266" w:type="dxa"/>
          </w:tcPr>
          <w:p w:rsidR="00E640AA" w:rsidRDefault="00E640AA" w:rsidP="00E640AA">
            <w:pPr>
              <w:jc w:val="center"/>
            </w:pPr>
            <w:r>
              <w:t>49,8</w:t>
            </w:r>
          </w:p>
        </w:tc>
      </w:tr>
      <w:tr w:rsidR="00E640AA" w:rsidRPr="00273CA0" w:rsidTr="00273CA0">
        <w:tc>
          <w:tcPr>
            <w:tcW w:w="2265" w:type="dxa"/>
          </w:tcPr>
          <w:p w:rsidR="00E640AA" w:rsidRDefault="00E640AA" w:rsidP="00E640AA">
            <w:pPr>
              <w:jc w:val="center"/>
            </w:pPr>
            <w:r>
              <w:t>36 – 37</w:t>
            </w:r>
          </w:p>
        </w:tc>
        <w:tc>
          <w:tcPr>
            <w:tcW w:w="2265" w:type="dxa"/>
          </w:tcPr>
          <w:p w:rsidR="00E640AA" w:rsidRDefault="00E640AA" w:rsidP="00E640AA">
            <w:pPr>
              <w:jc w:val="center"/>
            </w:pPr>
            <w:r w:rsidRPr="00D108C6">
              <w:t>85</w:t>
            </w:r>
          </w:p>
        </w:tc>
        <w:tc>
          <w:tcPr>
            <w:tcW w:w="2266" w:type="dxa"/>
          </w:tcPr>
          <w:p w:rsidR="00E640AA" w:rsidRDefault="00E640AA" w:rsidP="00E640AA">
            <w:pPr>
              <w:jc w:val="center"/>
            </w:pPr>
            <w:r>
              <w:t>35,7</w:t>
            </w:r>
          </w:p>
        </w:tc>
        <w:tc>
          <w:tcPr>
            <w:tcW w:w="2266" w:type="dxa"/>
          </w:tcPr>
          <w:p w:rsidR="00E640AA" w:rsidRDefault="00E640AA" w:rsidP="00E640AA">
            <w:pPr>
              <w:jc w:val="center"/>
            </w:pPr>
            <w:r>
              <w:t>47,5</w:t>
            </w:r>
          </w:p>
        </w:tc>
      </w:tr>
      <w:tr w:rsidR="00E640AA" w:rsidRPr="00273CA0" w:rsidTr="00273CA0">
        <w:tc>
          <w:tcPr>
            <w:tcW w:w="2265" w:type="dxa"/>
          </w:tcPr>
          <w:p w:rsidR="00E640AA" w:rsidRDefault="00E640AA" w:rsidP="00E640AA">
            <w:pPr>
              <w:jc w:val="center"/>
            </w:pPr>
            <w:r>
              <w:t>37 – 38</w:t>
            </w:r>
          </w:p>
        </w:tc>
        <w:tc>
          <w:tcPr>
            <w:tcW w:w="2265" w:type="dxa"/>
          </w:tcPr>
          <w:p w:rsidR="00E640AA" w:rsidRDefault="00E640AA" w:rsidP="00E640AA">
            <w:pPr>
              <w:jc w:val="center"/>
            </w:pPr>
            <w:r w:rsidRPr="00D108C6">
              <w:t>85</w:t>
            </w:r>
          </w:p>
        </w:tc>
        <w:tc>
          <w:tcPr>
            <w:tcW w:w="2266" w:type="dxa"/>
          </w:tcPr>
          <w:p w:rsidR="00E640AA" w:rsidRDefault="00E640AA" w:rsidP="00E640AA">
            <w:pPr>
              <w:jc w:val="center"/>
            </w:pPr>
            <w:r>
              <w:t>33,9</w:t>
            </w:r>
          </w:p>
        </w:tc>
        <w:tc>
          <w:tcPr>
            <w:tcW w:w="2266" w:type="dxa"/>
          </w:tcPr>
          <w:p w:rsidR="00E640AA" w:rsidRDefault="00E640AA" w:rsidP="00E640AA">
            <w:pPr>
              <w:jc w:val="center"/>
            </w:pPr>
            <w:r>
              <w:t>46,6</w:t>
            </w:r>
          </w:p>
        </w:tc>
      </w:tr>
      <w:tr w:rsidR="00E640AA" w:rsidRPr="00273CA0" w:rsidTr="00273CA0">
        <w:tc>
          <w:tcPr>
            <w:tcW w:w="2265" w:type="dxa"/>
          </w:tcPr>
          <w:p w:rsidR="00E640AA" w:rsidRDefault="00E640AA" w:rsidP="00E640AA">
            <w:pPr>
              <w:jc w:val="center"/>
            </w:pPr>
            <w:r>
              <w:t>38 – 39</w:t>
            </w:r>
          </w:p>
        </w:tc>
        <w:tc>
          <w:tcPr>
            <w:tcW w:w="2265" w:type="dxa"/>
          </w:tcPr>
          <w:p w:rsidR="00E640AA" w:rsidRDefault="00E640AA" w:rsidP="00E640AA">
            <w:pPr>
              <w:jc w:val="center"/>
            </w:pPr>
            <w:r w:rsidRPr="00D108C6">
              <w:t>85</w:t>
            </w:r>
          </w:p>
        </w:tc>
        <w:tc>
          <w:tcPr>
            <w:tcW w:w="2266" w:type="dxa"/>
          </w:tcPr>
          <w:p w:rsidR="00E640AA" w:rsidRDefault="00E640AA" w:rsidP="00E640AA">
            <w:pPr>
              <w:jc w:val="center"/>
            </w:pPr>
            <w:r>
              <w:t>32,1</w:t>
            </w:r>
          </w:p>
        </w:tc>
        <w:tc>
          <w:tcPr>
            <w:tcW w:w="2266" w:type="dxa"/>
          </w:tcPr>
          <w:p w:rsidR="00E640AA" w:rsidRDefault="00E640AA" w:rsidP="00E640AA">
            <w:pPr>
              <w:jc w:val="center"/>
            </w:pPr>
            <w:r>
              <w:t>44,1</w:t>
            </w:r>
          </w:p>
        </w:tc>
      </w:tr>
      <w:tr w:rsidR="00E640AA" w:rsidRPr="00273CA0" w:rsidTr="00273CA0">
        <w:tc>
          <w:tcPr>
            <w:tcW w:w="2265" w:type="dxa"/>
          </w:tcPr>
          <w:p w:rsidR="00E640AA" w:rsidRDefault="00E640AA" w:rsidP="00E640AA">
            <w:pPr>
              <w:jc w:val="center"/>
            </w:pPr>
            <w:r>
              <w:t>39 – 40</w:t>
            </w:r>
          </w:p>
        </w:tc>
        <w:tc>
          <w:tcPr>
            <w:tcW w:w="2265" w:type="dxa"/>
          </w:tcPr>
          <w:p w:rsidR="00E640AA" w:rsidRDefault="00E640AA" w:rsidP="00E640AA">
            <w:pPr>
              <w:jc w:val="center"/>
            </w:pPr>
            <w:r w:rsidRPr="00D108C6">
              <w:t>85</w:t>
            </w:r>
          </w:p>
        </w:tc>
        <w:tc>
          <w:tcPr>
            <w:tcW w:w="2266" w:type="dxa"/>
          </w:tcPr>
          <w:p w:rsidR="00E640AA" w:rsidRDefault="00E640AA" w:rsidP="00E640AA">
            <w:pPr>
              <w:jc w:val="center"/>
            </w:pPr>
            <w:r>
              <w:t>30,3</w:t>
            </w:r>
          </w:p>
        </w:tc>
        <w:tc>
          <w:tcPr>
            <w:tcW w:w="2266" w:type="dxa"/>
          </w:tcPr>
          <w:p w:rsidR="00E640AA" w:rsidRDefault="00E640AA" w:rsidP="00E640AA">
            <w:pPr>
              <w:jc w:val="center"/>
            </w:pPr>
            <w:r>
              <w:t>41,3</w:t>
            </w:r>
          </w:p>
        </w:tc>
      </w:tr>
    </w:tbl>
    <w:p w:rsidR="00B9199E" w:rsidRDefault="00B9199E">
      <w:r>
        <w:rPr>
          <w:b/>
        </w:rPr>
        <w:br/>
      </w:r>
      <w:r>
        <w:t xml:space="preserve">Stel, je schoolweging is 34,6. Voor 1F geldt dan een signaleringswaarde van 85%. Voor 1S/2F geldt de signaleringswaarde 39,5. Gemiddeld scoren de scholen in de schoolwegingscategorie 34-35 trouwens 50,4. Dat is fors hoger dan de signaleringswaarde. Je zou kunnen concluderen, dat de signaleringswaarde een soort ondergrens is. </w:t>
      </w:r>
    </w:p>
    <w:p w:rsidR="00273CA0" w:rsidRDefault="00B9199E">
      <w:r>
        <w:t>Het is interessant om (ook) eigen schoolnormen vast te stellen. Stel, de school scoort veel hoger dan de signaleringswaarde. Maar ja, dat is ook maar een ondergrens. Het is dan bijvoorbeeld mogelijk om schoolnormen vast te stellen voor 1F (hoger dan 85%) en 1S/2F (hoger dan de signaleringswaarde voor de school). Voor het bepalen van de schoolnormen kijk je (dus) naar de signaleringswaarden, het gemiddelde van de schoolwegingscategorie en naar wat je als school gemiddeld scoort (over bijvoorbeeld drie jaar). Resultaten uit het verleden kunnen dan wat houvast geven om ambities uit te spreken over de verwachtingen van de nog komende scores.</w:t>
      </w:r>
    </w:p>
    <w:p w:rsidR="00AF01FD" w:rsidRDefault="0052355E">
      <w:r>
        <w:t>Bronnen: Het Onderwijsresultatenmodel PO (Inspectie van het Onderwijs) en Over referentieniveaus van Cees Bos (BOC).</w:t>
      </w:r>
    </w:p>
    <w:p w:rsidR="0052355E" w:rsidRDefault="0052355E" w:rsidP="0052355E">
      <w:pPr>
        <w:jc w:val="center"/>
      </w:pPr>
      <w:r>
        <w:rPr>
          <w:noProof/>
          <w:lang w:eastAsia="nl-NL"/>
        </w:rPr>
        <w:drawing>
          <wp:inline distT="0" distB="0" distL="0" distR="0">
            <wp:extent cx="5760720" cy="1784350"/>
            <wp:effectExtent l="0" t="0" r="0"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_Logo  2 (1).png"/>
                    <pic:cNvPicPr/>
                  </pic:nvPicPr>
                  <pic:blipFill>
                    <a:blip r:embed="rId4">
                      <a:extLst>
                        <a:ext uri="{28A0092B-C50C-407E-A947-70E740481C1C}">
                          <a14:useLocalDpi xmlns:a14="http://schemas.microsoft.com/office/drawing/2010/main" val="0"/>
                        </a:ext>
                      </a:extLst>
                    </a:blip>
                    <a:stretch>
                      <a:fillRect/>
                    </a:stretch>
                  </pic:blipFill>
                  <pic:spPr>
                    <a:xfrm>
                      <a:off x="0" y="0"/>
                      <a:ext cx="5760720" cy="1784350"/>
                    </a:xfrm>
                    <a:prstGeom prst="rect">
                      <a:avLst/>
                    </a:prstGeom>
                  </pic:spPr>
                </pic:pic>
              </a:graphicData>
            </a:graphic>
          </wp:inline>
        </w:drawing>
      </w:r>
    </w:p>
    <w:sectPr w:rsidR="005235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1FD"/>
    <w:rsid w:val="0008429D"/>
    <w:rsid w:val="001B5946"/>
    <w:rsid w:val="001C6ED8"/>
    <w:rsid w:val="0021614D"/>
    <w:rsid w:val="00273CA0"/>
    <w:rsid w:val="00373DE8"/>
    <w:rsid w:val="00474200"/>
    <w:rsid w:val="0052355E"/>
    <w:rsid w:val="005F6E47"/>
    <w:rsid w:val="00674254"/>
    <w:rsid w:val="006C2DC2"/>
    <w:rsid w:val="00716503"/>
    <w:rsid w:val="007935B2"/>
    <w:rsid w:val="007B0843"/>
    <w:rsid w:val="007F3D2F"/>
    <w:rsid w:val="00816C3B"/>
    <w:rsid w:val="0085494C"/>
    <w:rsid w:val="00873310"/>
    <w:rsid w:val="0088061E"/>
    <w:rsid w:val="00887551"/>
    <w:rsid w:val="00892123"/>
    <w:rsid w:val="008E0AD0"/>
    <w:rsid w:val="008F2295"/>
    <w:rsid w:val="009C612A"/>
    <w:rsid w:val="00A37652"/>
    <w:rsid w:val="00A47F2C"/>
    <w:rsid w:val="00A65B59"/>
    <w:rsid w:val="00AF01FD"/>
    <w:rsid w:val="00AF456B"/>
    <w:rsid w:val="00B37EBD"/>
    <w:rsid w:val="00B9199E"/>
    <w:rsid w:val="00BD77CF"/>
    <w:rsid w:val="00BE076B"/>
    <w:rsid w:val="00C33B32"/>
    <w:rsid w:val="00C34A42"/>
    <w:rsid w:val="00CC6ACB"/>
    <w:rsid w:val="00D20779"/>
    <w:rsid w:val="00E640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F9847"/>
  <w15:chartTrackingRefBased/>
  <w15:docId w15:val="{381E5FC0-B573-486D-B04E-C6CA10A68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F01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F45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922</Words>
  <Characters>5074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 Flik</dc:creator>
  <cp:keywords/>
  <dc:description/>
  <cp:lastModifiedBy>Alfons Flik</cp:lastModifiedBy>
  <cp:revision>3</cp:revision>
  <cp:lastPrinted>2020-01-12T15:58:00Z</cp:lastPrinted>
  <dcterms:created xsi:type="dcterms:W3CDTF">2020-01-12T15:50:00Z</dcterms:created>
  <dcterms:modified xsi:type="dcterms:W3CDTF">2020-01-12T15:58:00Z</dcterms:modified>
</cp:coreProperties>
</file>